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 w:lineRule="exact"/>
        <w:rPr>
          <w:sz w:val="24"/>
          <w:szCs w:val="24"/>
          <w:color w:val="auto"/>
        </w:rPr>
      </w:pPr>
    </w:p>
    <w:p>
      <w:pPr>
        <w:ind w:left="4000" w:right="2520" w:hanging="3992"/>
        <w:spacing w:after="0" w:line="395" w:lineRule="auto"/>
        <w:tabs>
          <w:tab w:leader="none" w:pos="47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3" w:lineRule="exact"/>
        <w:rPr>
          <w:sz w:val="24"/>
          <w:szCs w:val="24"/>
          <w:color w:val="auto"/>
        </w:rPr>
      </w:pPr>
    </w:p>
    <w:p>
      <w:pPr>
        <w:ind w:left="3720" w:right="2520" w:hanging="3712"/>
        <w:spacing w:after="0" w:line="405" w:lineRule="auto"/>
        <w:tabs>
          <w:tab w:leader="none" w:pos="469"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 to _________</w:t>
      </w:r>
    </w:p>
    <w:p>
      <w:pPr>
        <w:ind w:left="43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001-39533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10" w:lineRule="exact"/>
        <w:rPr>
          <w:sz w:val="24"/>
          <w:szCs w:val="24"/>
          <w:color w:val="auto"/>
        </w:rPr>
      </w:pPr>
    </w:p>
    <w:p>
      <w:pPr>
        <w:jc w:val="center"/>
        <w:ind w:left="3820"/>
        <w:spacing w:after="0"/>
        <w:rPr>
          <w:sz w:val="20"/>
          <w:szCs w:val="20"/>
          <w:color w:val="auto"/>
        </w:rPr>
      </w:pPr>
      <w:r>
        <w:rPr>
          <w:rFonts w:ascii="Times New Roman" w:cs="Times New Roman" w:eastAsia="Times New Roman" w:hAnsi="Times New Roman"/>
          <w:sz w:val="39"/>
          <w:szCs w:val="39"/>
          <w:b w:val="1"/>
          <w:bCs w:val="1"/>
          <w:color w:val="auto"/>
        </w:rPr>
        <w:t>Corsair Gaming, Inc.</w:t>
      </w:r>
    </w:p>
    <w:p>
      <w:pPr>
        <w:spacing w:after="0" w:line="4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8"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3"/>
          <w:szCs w:val="13"/>
          <w:color w:val="auto"/>
        </w:rPr>
        <w:t>(State or Other Jurisdiction of</w:t>
      </w:r>
    </w:p>
    <w:p>
      <w:pPr>
        <w:ind w:left="204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82-2335306</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(I.R.S. Employer</w:t>
      </w: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00" w:lineRule="exact"/>
        <w:rPr>
          <w:sz w:val="24"/>
          <w:szCs w:val="24"/>
          <w:color w:val="auto"/>
        </w:rPr>
      </w:pPr>
    </w:p>
    <w:p>
      <w:pPr>
        <w:sectPr>
          <w:pgSz w:w="11900" w:h="16838" w:orient="portrait"/>
          <w:cols w:equalWidth="0" w:num="2">
            <w:col w:w="7420" w:space="540"/>
            <w:col w:w="3280"/>
          </w:cols>
          <w:pgMar w:left="320" w:top="225"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18"/>
          <w:szCs w:val="18"/>
          <w:b w:val="1"/>
          <w:bCs w:val="1"/>
          <w:color w:val="auto"/>
        </w:rPr>
        <w:t>115 N. McCarthy Boulevard</w:t>
      </w:r>
    </w:p>
    <w:p>
      <w:pPr>
        <w:spacing w:after="0" w:line="3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Milpitas, CA 95035</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 and zip code)</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(510) 657-8747</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former address and former fiscal year,</w:t>
      </w:r>
    </w:p>
    <w:p>
      <w:pPr>
        <w:jc w:val="center"/>
        <w:spacing w:after="0"/>
        <w:rPr>
          <w:sz w:val="20"/>
          <w:szCs w:val="20"/>
          <w:color w:val="auto"/>
        </w:rPr>
      </w:pPr>
      <w:r>
        <w:rPr>
          <w:rFonts w:ascii="Times New Roman" w:cs="Times New Roman" w:eastAsia="Times New Roman" w:hAnsi="Times New Roman"/>
          <w:sz w:val="13"/>
          <w:szCs w:val="13"/>
          <w:color w:val="auto"/>
        </w:rPr>
        <w:t>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45085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40" w:type="dxa"/>
            <w:vAlign w:val="bottom"/>
          </w:tcPr>
          <w:p>
            <w:pPr>
              <w:spacing w:after="0"/>
              <w:rPr>
                <w:sz w:val="13"/>
                <w:szCs w:val="13"/>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20" w:type="dxa"/>
            <w:vAlign w:val="bottom"/>
          </w:tcPr>
          <w:p>
            <w:pPr>
              <w:spacing w:after="0"/>
              <w:rPr>
                <w:sz w:val="13"/>
                <w:szCs w:val="13"/>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204"/>
        </w:trPr>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40" w:type="dxa"/>
            <w:vAlign w:val="bottom"/>
          </w:tcPr>
          <w:p>
            <w:pPr>
              <w:spacing w:after="0"/>
              <w:rPr>
                <w:sz w:val="17"/>
                <w:szCs w:val="17"/>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CRSR</w:t>
            </w:r>
          </w:p>
        </w:tc>
        <w:tc>
          <w:tcPr>
            <w:tcW w:w="120" w:type="dxa"/>
            <w:vAlign w:val="bottom"/>
          </w:tcPr>
          <w:p>
            <w:pPr>
              <w:spacing w:after="0"/>
              <w:rPr>
                <w:sz w:val="17"/>
                <w:szCs w:val="17"/>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00"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jc w:val="both"/>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24, 2026, the registrant had 106,882,211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4"/>
          <w:szCs w:val="4"/>
          <w:color w:val="auto"/>
        </w:rPr>
        <w:t>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r>
              <w:rPr>
                <w:rFonts w:ascii="Times New Roman" w:cs="Times New Roman" w:eastAsia="Times New Roman" w:hAnsi="Times New Roman"/>
                <w:sz w:val="18"/>
                <w:szCs w:val="18"/>
                <w:color w:val="0563C1"/>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EE"/>
            </w:tcBorders>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243" w:lineRule="exact"/>
        <w:rPr>
          <w:sz w:val="20"/>
          <w:szCs w:val="20"/>
          <w:color w:val="auto"/>
        </w:rPr>
      </w:pPr>
    </w:p>
    <w:p>
      <w:pPr>
        <w:ind w:right="280"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on Form 10-Q and relate to matters such as our industry, business strategy, business model, optimization of our product mix, growth, user engagement, goals and expectations concerning our market position and market share, inventory management and supply chain flexibility, global expansion, future acquisitions and pursuit of leadership positions in premium categories, our direct to consumer business model, future operations, margins, revenue,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or the negatives of these words to identify the forward-looking statements.</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uncertainties in the geopolitical environment, recent changes in trade regulations and tariffs, and developments in international trade relations and agreements. We believe that these factors include but are not limited to those described under Part I, Item 1A “Risk Factors” of our Annual Report on Form 10-K for the year ended December 31, 2025, as well as other documents that may be filed by us from time to time with the Securities and Exchange Commission (the “SEC”).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Q1 2026 Form 10-Q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2760" w:type="dxa"/>
            <w:vAlign w:val="bottom"/>
            <w:gridSpan w:val="4"/>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7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77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7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4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354,512</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369,750</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238,483</w:t>
            </w:r>
          </w:p>
        </w:tc>
        <w:tc>
          <w:tcPr>
            <w:tcW w:w="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267,388</w:t>
            </w:r>
          </w:p>
        </w:tc>
        <w:tc>
          <w:tcPr>
            <w:tcW w:w="120" w:type="dxa"/>
            <w:vAlign w:val="bottom"/>
          </w:tcPr>
          <w:p>
            <w:pPr>
              <w:spacing w:after="0"/>
              <w:rPr>
                <w:sz w:val="18"/>
                <w:szCs w:val="18"/>
                <w:color w:val="auto"/>
              </w:rPr>
            </w:pP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116,029</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102,362</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84,988</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86,992</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development</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17,245</w:t>
            </w:r>
          </w:p>
        </w:tc>
        <w:tc>
          <w:tcPr>
            <w:tcW w:w="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17,633</w:t>
            </w:r>
          </w:p>
        </w:tc>
        <w:tc>
          <w:tcPr>
            <w:tcW w:w="120" w:type="dxa"/>
            <w:vAlign w:val="bottom"/>
          </w:tcPr>
          <w:p>
            <w:pPr>
              <w:spacing w:after="0"/>
              <w:rPr>
                <w:sz w:val="18"/>
                <w:szCs w:val="18"/>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102,233</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104,625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(2,263)</w:t>
            </w: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(1,691)</w:t>
            </w:r>
          </w:p>
        </w:tc>
        <w:tc>
          <w:tcPr>
            <w:tcW w:w="9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(2,676)</w:t>
            </w:r>
          </w:p>
        </w:tc>
      </w:tr>
      <w:tr>
        <w:trPr>
          <w:trHeight w:val="216"/>
        </w:trPr>
        <w:tc>
          <w:tcPr>
            <w:tcW w:w="7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(3,947)</w:t>
            </w:r>
          </w:p>
        </w:tc>
      </w:tr>
      <w:tr>
        <w:trPr>
          <w:trHeight w:val="20"/>
        </w:trPr>
        <w:tc>
          <w:tcPr>
            <w:tcW w:w="7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9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(896)</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(5,993)</w:t>
            </w:r>
          </w:p>
        </w:tc>
      </w:tr>
      <w:tr>
        <w:trPr>
          <w:trHeight w:val="20"/>
        </w:trPr>
        <w:tc>
          <w:tcPr>
            <w:tcW w:w="77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(8,256)</w:t>
            </w:r>
          </w:p>
        </w:tc>
      </w:tr>
      <w:tr>
        <w:trPr>
          <w:trHeight w:val="216"/>
        </w:trPr>
        <w:tc>
          <w:tcPr>
            <w:tcW w:w="7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(2,061)</w:t>
            </w:r>
          </w:p>
        </w:tc>
      </w:tr>
      <w:tr>
        <w:trPr>
          <w:trHeight w:val="20"/>
        </w:trPr>
        <w:tc>
          <w:tcPr>
            <w:tcW w:w="77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(10,317)</w:t>
            </w:r>
          </w:p>
        </w:tc>
      </w:tr>
      <w:tr>
        <w:trPr>
          <w:trHeight w:val="216"/>
        </w:trPr>
        <w:tc>
          <w:tcPr>
            <w:tcW w:w="77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2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(10,459)</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
        </w:trPr>
        <w:tc>
          <w:tcPr>
            <w:tcW w:w="7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Calculation of net income (loss) per share attributable to common stockholders of Corsair Gaming, Inc.:</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2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(10,459)</w:t>
            </w:r>
          </w:p>
        </w:tc>
      </w:tr>
      <w:tr>
        <w:trPr>
          <w:trHeight w:val="216"/>
        </w:trPr>
        <w:tc>
          <w:tcPr>
            <w:tcW w:w="7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w:t>
            </w:r>
          </w:p>
        </w:tc>
        <w:tc>
          <w:tcPr>
            <w:tcW w:w="9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(920)</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FF0FC"/>
          </w:tcPr>
          <w:p>
            <w:pPr>
              <w:spacing w:after="0"/>
              <w:rPr>
                <w:sz w:val="18"/>
                <w:szCs w:val="18"/>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common stockholders of Corsair Gaming, Inc.</w:t>
            </w: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2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(10,067)</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
        </w:trPr>
        <w:tc>
          <w:tcPr>
            <w:tcW w:w="7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of Corsair Gaming, Inc.:</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7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106,867</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105,240</w:t>
            </w:r>
          </w:p>
        </w:tc>
        <w:tc>
          <w:tcPr>
            <w:tcW w:w="120" w:type="dxa"/>
            <w:vAlign w:val="bottom"/>
            <w:shd w:val="clear" w:color="auto" w:fill="CFF0FC"/>
          </w:tcPr>
          <w:p>
            <w:pPr>
              <w:spacing w:after="0"/>
              <w:rPr>
                <w:sz w:val="18"/>
                <w:szCs w:val="18"/>
                <w:color w:val="auto"/>
              </w:rPr>
            </w:pPr>
          </w:p>
        </w:tc>
      </w:tr>
      <w:tr>
        <w:trPr>
          <w:trHeight w:val="234"/>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107,774</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105,240</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-3096895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-3096895</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-2256790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-2256790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-1974215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-1974215</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-1691005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-1691005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-1056640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-1056640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(10,317)</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adjustments, net of tax benefit of $64 and $27 for the three months ended</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March 31, 2026 and 2025, respectively.</w:t>
            </w: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Unrealized foreign exchange gain from long-term intercompany loan, net of tax expense of nil and</w:t>
            </w:r>
          </w:p>
        </w:tc>
        <w:tc>
          <w:tcPr>
            <w:tcW w:w="3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nil for the three months ended March 31, 2026 and 2025, respectively.</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(8,256)</w:t>
            </w: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Comprehensive income (loss) attributable to Corsair Gaming, Inc.</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(8,338)</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r>
      <w:tr>
        <w:trPr>
          <w:trHeight w:val="213"/>
        </w:trPr>
        <w:tc>
          <w:tcPr>
            <w:tcW w:w="7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118,152</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233,900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303,336</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665,458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31,514</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357,399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357,765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125,210</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73,897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73,587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1,177,340</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1,253,784</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Debt maturing within one year, net</w:t>
            </w:r>
          </w:p>
        </w:tc>
        <w:tc>
          <w:tcPr>
            <w:tcW w:w="40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212,547</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180,348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212,275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430,942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113,691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115,222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53,766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608,030</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70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 shares authorized, nil and nil shares issued and outstanding as</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of March 31, 2026 and December 31, 2025, respectively</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 shares authorized, 106,879 and 106,639 shares issued and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708,518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705,361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(71,230)</w:t>
            </w: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(585)</w:t>
            </w:r>
          </w:p>
        </w:tc>
      </w:tr>
      <w:tr>
        <w:trPr>
          <w:trHeight w:val="210"/>
        </w:trPr>
        <w:tc>
          <w:tcPr>
            <w:tcW w:w="7700" w:type="dxa"/>
            <w:vAlign w:val="bottom"/>
            <w:tcBorders>
              <w:top w:val="single" w:sz="8" w:color="CFF0FC"/>
              <w:bottom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CFF0FC"/>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647,642</w:t>
            </w:r>
          </w:p>
        </w:tc>
        <w:tc>
          <w:tcPr>
            <w:tcW w:w="160" w:type="dxa"/>
            <w:vAlign w:val="bottom"/>
            <w:tcBorders>
              <w:top w:val="single" w:sz="8" w:color="CFF0FC"/>
              <w:bottom w:val="single" w:sz="8" w:color="CFF0FC"/>
            </w:tcBorders>
          </w:tcPr>
          <w:p>
            <w:pPr>
              <w:spacing w:after="0"/>
              <w:rPr>
                <w:sz w:val="18"/>
                <w:szCs w:val="18"/>
                <w:color w:val="auto"/>
              </w:rPr>
            </w:pPr>
          </w:p>
        </w:tc>
        <w:tc>
          <w:tcPr>
            <w:tcW w:w="100" w:type="dxa"/>
            <w:vAlign w:val="bottom"/>
            <w:tcBorders>
              <w:top w:val="single" w:sz="8" w:color="CFF0FC"/>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633,557</w:t>
            </w:r>
          </w:p>
        </w:tc>
        <w:tc>
          <w:tcPr>
            <w:tcW w:w="120" w:type="dxa"/>
            <w:vAlign w:val="bottom"/>
            <w:tcBorders>
              <w:top w:val="single" w:sz="8" w:color="CFF0FC"/>
              <w:bottom w:val="single" w:sz="8" w:color="CFF0FC"/>
            </w:tcBorders>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temporary equity and stockholders' equity</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1,177,340</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1,253,784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-4225290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-4225290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-3394075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-3394075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-2536825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-2536825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-1979295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-1979295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-316865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10"/>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Total Corsair</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Comprehensiv</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Gaming, Inc.</w:t>
            </w:r>
          </w:p>
        </w:tc>
        <w:tc>
          <w:tcPr>
            <w:tcW w:w="0" w:type="dxa"/>
            <w:vAlign w:val="bottom"/>
          </w:tcPr>
          <w:p>
            <w:pPr>
              <w:spacing w:after="0"/>
              <w:rPr>
                <w:sz w:val="1"/>
                <w:szCs w:val="1"/>
                <w:color w:val="auto"/>
              </w:rPr>
            </w:pPr>
          </w:p>
        </w:tc>
      </w:tr>
      <w:tr>
        <w:trPr>
          <w:trHeight w:val="205"/>
        </w:trPr>
        <w:tc>
          <w:tcPr>
            <w:tcW w:w="4400" w:type="dxa"/>
            <w:vAlign w:val="bottom"/>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83"/>
              </w:rPr>
              <w:t>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106,639</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705,361</w:t>
            </w:r>
          </w:p>
        </w:tc>
        <w:tc>
          <w:tcPr>
            <w:tcW w:w="1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(71,230)</w:t>
            </w:r>
          </w:p>
        </w:tc>
        <w:tc>
          <w:tcPr>
            <w:tcW w:w="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(585)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633,557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(936)</w:t>
            </w:r>
          </w:p>
        </w:tc>
        <w:tc>
          <w:tcPr>
            <w:tcW w:w="0" w:type="dxa"/>
            <w:vAlign w:val="bottom"/>
          </w:tcPr>
          <w:p>
            <w:pPr>
              <w:spacing w:after="0"/>
              <w:rPr>
                <w:sz w:val="1"/>
                <w:szCs w:val="1"/>
                <w:color w:val="auto"/>
              </w:rPr>
            </w:pPr>
          </w:p>
        </w:tc>
      </w:tr>
      <w:tr>
        <w:trPr>
          <w:trHeight w:val="189"/>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redemption value of redeemable noncontrolling</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05"/>
        </w:trPr>
        <w:tc>
          <w:tcPr>
            <w:tcW w:w="44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(880)</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(5,011)</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(5,011)</w:t>
            </w:r>
          </w:p>
        </w:tc>
        <w:tc>
          <w:tcPr>
            <w:tcW w:w="0" w:type="dxa"/>
            <w:vAlign w:val="bottom"/>
          </w:tcPr>
          <w:p>
            <w:pPr>
              <w:spacing w:after="0"/>
              <w:rPr>
                <w:sz w:val="1"/>
                <w:szCs w:val="1"/>
                <w:color w:val="auto"/>
              </w:rPr>
            </w:pPr>
          </w:p>
        </w:tc>
      </w:tr>
      <w:tr>
        <w:trPr>
          <w:trHeight w:val="189"/>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in connection with employee equity</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incentive plans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(103)</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203"/>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March 31, 2026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106,879</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708,518</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(59,366)</w:t>
            </w:r>
          </w:p>
        </w:tc>
        <w:tc>
          <w:tcPr>
            <w:tcW w:w="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(1,521)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647,642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4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0"/>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Total Corsair</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Comprehensiv</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Gaming, Inc.</w:t>
            </w:r>
          </w:p>
        </w:tc>
        <w:tc>
          <w:tcPr>
            <w:tcW w:w="0" w:type="dxa"/>
            <w:vAlign w:val="bottom"/>
          </w:tcPr>
          <w:p>
            <w:pPr>
              <w:spacing w:after="0"/>
              <w:rPr>
                <w:sz w:val="1"/>
                <w:szCs w:val="1"/>
                <w:color w:val="auto"/>
              </w:rPr>
            </w:pPr>
          </w:p>
        </w:tc>
      </w:tr>
      <w:tr>
        <w:trPr>
          <w:trHeight w:val="205"/>
        </w:trPr>
        <w:tc>
          <w:tcPr>
            <w:tcW w:w="4400" w:type="dxa"/>
            <w:vAlign w:val="bottom"/>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83"/>
              </w:rPr>
              <w:t>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104,763</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667,617</w:t>
            </w:r>
          </w:p>
        </w:tc>
        <w:tc>
          <w:tcPr>
            <w:tcW w:w="1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(58,765)</w:t>
            </w:r>
          </w:p>
        </w:tc>
        <w:tc>
          <w:tcPr>
            <w:tcW w:w="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(4,559)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604,303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(10,459)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(10,459)</w:t>
            </w:r>
          </w:p>
        </w:tc>
        <w:tc>
          <w:tcPr>
            <w:tcW w:w="0" w:type="dxa"/>
            <w:vAlign w:val="bottom"/>
          </w:tcPr>
          <w:p>
            <w:pPr>
              <w:spacing w:after="0"/>
              <w:rPr>
                <w:sz w:val="1"/>
                <w:szCs w:val="1"/>
                <w:color w:val="auto"/>
              </w:rPr>
            </w:pPr>
          </w:p>
        </w:tc>
      </w:tr>
      <w:tr>
        <w:trPr>
          <w:trHeight w:val="203"/>
        </w:trPr>
        <w:tc>
          <w:tcPr>
            <w:tcW w:w="44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redemption value of redeemable noncontrolling</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4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in connection with employee equity</w:t>
            </w: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incentive plans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w:t>
            </w:r>
          </w:p>
        </w:tc>
        <w:tc>
          <w:tcPr>
            <w:tcW w:w="4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03"/>
        </w:trPr>
        <w:tc>
          <w:tcPr>
            <w:tcW w:w="4400" w:type="dxa"/>
            <w:vAlign w:val="bottom"/>
            <w:tcBorders>
              <w:bottom w:val="single" w:sz="8" w:color="CFF0FC"/>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9,350</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March 31, 2025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105,816</w:t>
            </w:r>
          </w:p>
        </w:tc>
        <w:tc>
          <w:tcPr>
            <w:tcW w:w="240" w:type="dxa"/>
            <w:vAlign w:val="bottom"/>
          </w:tcPr>
          <w:p>
            <w:pPr>
              <w:spacing w:after="0"/>
              <w:rPr>
                <w:sz w:val="17"/>
                <w:szCs w:val="17"/>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680,016</w:t>
            </w:r>
          </w:p>
        </w:tc>
        <w:tc>
          <w:tcPr>
            <w:tcW w:w="140" w:type="dxa"/>
            <w:vAlign w:val="bottom"/>
          </w:tcPr>
          <w:p>
            <w:pPr>
              <w:spacing w:after="0"/>
              <w:rPr>
                <w:sz w:val="17"/>
                <w:szCs w:val="17"/>
                <w:color w:val="auto"/>
              </w:rPr>
            </w:pPr>
          </w:p>
        </w:tc>
        <w:tc>
          <w:tcPr>
            <w:tcW w:w="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(68,832)</w:t>
            </w:r>
          </w:p>
        </w:tc>
        <w:tc>
          <w:tcPr>
            <w:tcW w:w="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(2,438)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608,757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-2390775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-2373630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-2390775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-2373630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-2390775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-2373630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-2390775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-2373630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-2390775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-2373630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-162560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-162560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-162560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-162560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-162560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60" w:type="dxa"/>
            <w:vAlign w:val="bottom"/>
          </w:tcPr>
          <w:p>
            <w:pPr>
              <w:jc w:val="center"/>
              <w:ind w:left="3691"/>
              <w:spacing w:after="0"/>
              <w:rPr>
                <w:sz w:val="20"/>
                <w:szCs w:val="20"/>
                <w:color w:val="auto"/>
              </w:rPr>
            </w:pPr>
            <w:r>
              <w:rPr>
                <w:rFonts w:ascii="Times New Roman" w:cs="Times New Roman" w:eastAsia="Times New Roman" w:hAnsi="Times New Roman"/>
                <w:sz w:val="16"/>
                <w:szCs w:val="16"/>
                <w:b w:val="1"/>
                <w:bCs w:val="1"/>
                <w:color w:val="auto"/>
              </w:rPr>
              <w:t>Corsair Gaming, Inc.</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jc w:val="center"/>
              <w:ind w:left="3711"/>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60" w:type="dxa"/>
            <w:vAlign w:val="bottom"/>
          </w:tcPr>
          <w:p>
            <w:pPr>
              <w:jc w:val="center"/>
              <w:ind w:left="3691"/>
              <w:spacing w:after="0"/>
              <w:rPr>
                <w:sz w:val="20"/>
                <w:szCs w:val="20"/>
                <w:color w:val="auto"/>
              </w:rPr>
            </w:pPr>
            <w:r>
              <w:rPr>
                <w:rFonts w:ascii="Times New Roman" w:cs="Times New Roman" w:eastAsia="Times New Roman" w:hAnsi="Times New Roman"/>
                <w:sz w:val="16"/>
                <w:szCs w:val="16"/>
                <w:b w:val="1"/>
                <w:bCs w:val="1"/>
                <w:color w:val="auto"/>
              </w:rPr>
              <w:t>(Unaudited, in thousands)</w:t>
            </w:r>
          </w:p>
        </w:tc>
        <w:tc>
          <w:tcPr>
            <w:tcW w:w="1060" w:type="dxa"/>
            <w:vAlign w:val="bottom"/>
          </w:tcPr>
          <w:p>
            <w:pPr>
              <w:spacing w:after="0"/>
              <w:rPr>
                <w:sz w:val="18"/>
                <w:szCs w:val="18"/>
                <w:color w:val="auto"/>
              </w:rPr>
            </w:pPr>
          </w:p>
        </w:tc>
        <w:tc>
          <w:tcPr>
            <w:tcW w:w="15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gridSpan w:val="4"/>
            <w:vMerge w:val="continue"/>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7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80" w:type="dxa"/>
            <w:vAlign w:val="bottom"/>
          </w:tcPr>
          <w:p>
            <w:pPr>
              <w:spacing w:after="0"/>
              <w:rPr>
                <w:sz w:val="18"/>
                <w:szCs w:val="18"/>
                <w:color w:val="auto"/>
              </w:rPr>
            </w:pPr>
          </w:p>
        </w:tc>
        <w:tc>
          <w:tcPr>
            <w:tcW w:w="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(10,317)</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Reversal of bargain purchase gain on business acquisition</w:t>
            </w:r>
          </w:p>
        </w:tc>
        <w:tc>
          <w:tcPr>
            <w:tcW w:w="10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10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54,214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(22,237)</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(54,583)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0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(32,183)</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(12,470)</w:t>
            </w:r>
          </w:p>
        </w:tc>
        <w:tc>
          <w:tcPr>
            <w:tcW w:w="0" w:type="dxa"/>
            <w:vAlign w:val="bottom"/>
          </w:tcPr>
          <w:p>
            <w:pPr>
              <w:spacing w:after="0"/>
              <w:rPr>
                <w:sz w:val="1"/>
                <w:szCs w:val="1"/>
                <w:color w:val="auto"/>
              </w:rPr>
            </w:pPr>
          </w:p>
        </w:tc>
      </w:tr>
      <w:tr>
        <w:trPr>
          <w:trHeight w:val="210"/>
        </w:trPr>
        <w:tc>
          <w:tcPr>
            <w:tcW w:w="74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29,728</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(3,072)</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(3,072)</w:t>
            </w:r>
          </w:p>
        </w:tc>
        <w:tc>
          <w:tcPr>
            <w:tcW w:w="0" w:type="dxa"/>
            <w:vAlign w:val="bottom"/>
          </w:tcPr>
          <w:p>
            <w:pPr>
              <w:spacing w:after="0"/>
              <w:rPr>
                <w:sz w:val="1"/>
                <w:szCs w:val="1"/>
                <w:color w:val="auto"/>
              </w:rPr>
            </w:pPr>
          </w:p>
        </w:tc>
      </w:tr>
      <w:tr>
        <w:trPr>
          <w:trHeight w:val="210"/>
        </w:trPr>
        <w:tc>
          <w:tcPr>
            <w:tcW w:w="7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Repayment of debt</w:t>
            </w:r>
          </w:p>
        </w:tc>
        <w:tc>
          <w:tcPr>
            <w:tcW w:w="10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Proceeds from issuance of shares through employee equity incentive plans</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taxes related to net share settlement of equity awards</w:t>
            </w:r>
          </w:p>
        </w:tc>
        <w:tc>
          <w:tcPr>
            <w:tcW w:w="10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Dividend paid to noncontrolling interest</w:t>
            </w:r>
          </w:p>
        </w:tc>
        <w:tc>
          <w:tcPr>
            <w:tcW w:w="10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0"/>
        </w:trPr>
        <w:tc>
          <w:tcPr>
            <w:tcW w:w="74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(22,254)</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0"/>
        </w:trPr>
        <w:tc>
          <w:tcPr>
            <w:tcW w:w="74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restricted cash</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(7,102)</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restricted cash at the beginning of the period</w:t>
            </w:r>
          </w:p>
        </w:tc>
        <w:tc>
          <w:tcPr>
            <w:tcW w:w="10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98,833</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the end of the period</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119,748</w:t>
            </w:r>
          </w:p>
        </w:tc>
        <w:tc>
          <w:tcPr>
            <w:tcW w:w="180" w:type="dxa"/>
            <w:vAlign w:val="bottom"/>
          </w:tcPr>
          <w:p>
            <w:pPr>
              <w:spacing w:after="0"/>
              <w:rPr>
                <w:sz w:val="18"/>
                <w:szCs w:val="18"/>
                <w:color w:val="auto"/>
              </w:rPr>
            </w:pPr>
          </w:p>
        </w:tc>
        <w:tc>
          <w:tcPr>
            <w:tcW w:w="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0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interest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80" w:type="dxa"/>
            <w:vAlign w:val="bottom"/>
          </w:tcPr>
          <w:p>
            <w:pPr>
              <w:spacing w:after="0"/>
              <w:rPr>
                <w:sz w:val="18"/>
                <w:szCs w:val="18"/>
                <w:color w:val="auto"/>
              </w:rPr>
            </w:pPr>
          </w:p>
        </w:tc>
        <w:tc>
          <w:tcPr>
            <w:tcW w:w="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Equipment purchased and unpaid at period end</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-2985770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-2985770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-2411095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-2411095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-1579880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-1288415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-1005205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-1005205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Corsair Gaming, Inc., a Delaware corporation, together with its subsidiaries (collectively, “Corsair” the “Company”, “we”, “us”, or “our”), is a leading global provider and innovator of high-performance products for gamers, streamers, content creators, gaming PC builders, and sim racing enthusiasts.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Corsair is organized into two reportable segments:</w:t>
      </w:r>
    </w:p>
    <w:p>
      <w:pPr>
        <w:spacing w:after="0" w:line="113" w:lineRule="exact"/>
        <w:rPr>
          <w:sz w:val="20"/>
          <w:szCs w:val="20"/>
          <w:color w:val="auto"/>
        </w:rPr>
      </w:pPr>
    </w:p>
    <w:p>
      <w:pPr>
        <w:ind w:left="1260" w:hanging="368"/>
        <w:spacing w:after="0" w:line="268" w:lineRule="auto"/>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our streaming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which includes capture cards, Stream Decks, microphones, teleprompters, and audio interfaces, our Facecam streaming cameras, studio accessories, command center displays, sim racing products, and gaming furniture, among others.</w:t>
      </w:r>
    </w:p>
    <w:p>
      <w:pPr>
        <w:spacing w:after="0" w:line="62" w:lineRule="exact"/>
        <w:rPr>
          <w:rFonts w:ascii="Times New Roman" w:cs="Times New Roman" w:eastAsia="Times New Roman" w:hAnsi="Times New Roman"/>
          <w:sz w:val="18"/>
          <w:szCs w:val="18"/>
          <w:color w:val="auto"/>
        </w:rPr>
      </w:pPr>
    </w:p>
    <w:p>
      <w:pPr>
        <w:ind w:left="1260" w:right="160" w:hanging="368"/>
        <w:spacing w:after="0" w:line="286" w:lineRule="auto"/>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cooling solutions, computer cases, and DRAM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modules, as well as high-end prebuilt and custom-built gaming PCs and laptops, and AI workstations, among others.</w:t>
      </w:r>
    </w:p>
    <w:p>
      <w:pPr>
        <w:spacing w:after="0" w:line="37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have been prepared in accordance with U.S. generally accepted accounting principles (“U.S. GAAP”) and pursuant to the rules and regulations of the U.S. Securities and Exchange Commission (“SEC”) regarding interim financial reporting. The accounting policies we follow are set forth in Part II, Item 8, Note 2, “Significant Accounting Policies”, of the Notes to the Consolidated Financial Statements included in our Annual Report on Form 10-K for the year ended December 31, 2025 which was filed with the SEC on February 25, 2026.</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2025,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consolidated financial statements should be read in conjunction with our consolidated financial statements and notes thereto for the year ended December 31, 2025, included in our Annual Report on Form 10-K.</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on the same basis as the audited consolidated financial statements, and in management’s opinion, include all adjustments, which consist of only normal recurring adjustments necessary for the fair statement of our condensed consolidated balance sheet as of March 31, 2026 and our results of operations for the three months ended March 31, 2026 and 2025. The results for the three months ended March 31, 2026 are not necessarily indicative of the results expected for the current fiscal year or any other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Corsair and its wholly owned subsidiaries. All intercompany accounts and transactions have been eliminated in consolidation. For consolidated entities where we own less than 100% of the equity, our consolidated net comprehensive income (loss) is reduced by the portion attributable to the noncontrolling interest. The ownership interest of other investors is recorded as noncontrolling interest in the condensed consolidated balance sheets.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determining whether an entity is considered a controlled entity, we apply the VIE (variable interest entity) and VOE (voting interest entity) models. 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period. Such estimates include, but are not limited to, the valuation of intangible assets, accounts receivable, sales return reserves, reserves for customer incentives, warranty reserves, inventory, derivative instruments, stock-based compensation, deferred income tax, and uncertain tax positions. These estimates and assumptions are based on management’s best estimates and judgment. Management evaluates its estimates and assumptions on an ongoing basis using historical experience and other factors, including the potential impacts from the events in the current economic and geopolitical environment. We adjust such estimates and assumptions when facts and circumstances dictate. The extent to which current macroeconomic conditions, including recent changes in trade regulations and tariffs, as well as developments in international trade regulations and agreements and continued geopolitical unrest will impact our business going forward depends on numerous dynamic factors that we cannot reliably predict. Actual results could differ materially from those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 - Credit Losses (Topic 326) - Measurement of Credit Losses for Accounts Receivable and Contract Assets. This ASU introduces a practical expedient for the application of the current expected credit loss (“CECL”) model to current accounts receivable and contract assets. We adopted this standard effective January 1, 2026. The adoption of this new standard did not have a material impact on our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Adopted</w:t>
      </w:r>
    </w:p>
    <w:p>
      <w:pPr>
        <w:spacing w:after="0" w:line="121"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(Topic 220) - Reporting Comprehensive Income - Expense Disaggregation Disclosures: Disaggregation of Income Statement Expenses. This ASU requires additional disclosures about the nature of expenses included in the income statement, such as purchases of inventory, employee compensation and depreciation. This ASU 2024-03 is effective for annual periods beginning after December 15, 2026 and interim reporting periods beginning after December 15, 2027, with early adoption permitted. We are currently evaluating the provisions of this ASU and expect to adopt them for the year ended December 31, 2027.</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Goodwill and Other Internal-Use Software (Topic 350) - Targeted Improvements to the Accounting for Internal-Use Software. The amendments in this update improve the operability of the guidance by removing all references to software development project stages so that the guidance is neutral to different software development methods. This update is effective for annual periods beginning after December 15, 2027, including interim periods within those fiscal years, though early adoption is permitted. We are currently evaluating the provisions of this ASU and do not expect the adoption to have material effect on our consolidated financial statements. We expect to adopt this ASU for the fiscal year beginning January 1, 2028.</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2025, the FASB issued ASU No. 2025-09, Derivatives and Hedging (Topic 815) - Hedge Accounting Improvements. The amendments in this update are intended to more closely align hedge accounting with the economics of an entity's risk management activities. This update is effective for annual periods beginning after December 15, 2026, including interim periods within those fiscal years, though early adoption is permitted. The amendments should be applied prospectively. We are currently evaluating the provisions of this ASU to determine its impact on our consolidated financial statements. We expect to adopt this ASU for the fiscal year beginning January 1, 2027.</w:t>
      </w:r>
    </w:p>
    <w:p>
      <w:pPr>
        <w:spacing w:after="0" w:line="75"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The amendments provide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We are currently evaluating the impact of adopting this ASU on our consolidated financial statements related disclosures.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Derivative Financial Instruments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enter into derivative instruments such as foreign currency forward contracts, to minimize the short-term impact of foreign currency exchange rate fluctuations on certain foreign currency denominated assets and liabilities. The derivative instruments are recorded at fair value in prepaid expenses and other current assets or other liabilities and accrued expenses on the condensed consolidated balance sheets. We do not designate such instruments as hedges for accounting purposes; accordingly, changes in the value of these contracts are recognized in each reporting period in other (expense) income, net in the condensed consolidated statements of operations. We do not enter into derivative instruments for trading purposes.</w:t>
      </w:r>
    </w:p>
    <w:p>
      <w:pPr>
        <w:spacing w:after="0" w:line="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foreign currency forward contracts generally mature within two to four months. The notional principal amount of outstanding foreign exchange forward contracts was $21.1 million and $28.5 million as of March 31, 2026 and December 31,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Q1 2026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respectively. The net fair value gains (losses) recognized in other (expense) income, net in relation to these derivative instruments was $0.2 million and $(1.7) million for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by reportable segment (in thousands):</w:t>
      </w:r>
    </w:p>
    <w:tbl>
      <w:tblPr>
        <w:tblLayout w:type="fixed"/>
        <w:tblInd w:w="0" w:type="dxa"/>
        <w:tblCellMar>
          <w:top w:w="0" w:type="dxa"/>
          <w:left w:w="0" w:type="dxa"/>
          <w:bottom w:w="0" w:type="dxa"/>
          <w:right w:w="0" w:type="dxa"/>
        </w:tblCellMar>
      </w:tblPr>
      <w:tr>
        <w:trPr>
          <w:trHeight w:val="151"/>
        </w:trPr>
        <w:tc>
          <w:tcPr>
            <w:tcW w:w="4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2"/>
          </w:tcPr>
          <w:p>
            <w:pPr>
              <w:jc w:val="center"/>
              <w:ind w:right="620"/>
              <w:spacing w:after="0" w:line="151" w:lineRule="exact"/>
              <w:rPr>
                <w:sz w:val="20"/>
                <w:szCs w:val="20"/>
                <w:color w:val="auto"/>
              </w:rPr>
            </w:pPr>
            <w:r>
              <w:rPr>
                <w:rFonts w:ascii="Times New Roman" w:cs="Times New Roman" w:eastAsia="Times New Roman" w:hAnsi="Times New Roman"/>
                <w:sz w:val="14"/>
                <w:szCs w:val="14"/>
                <w:b w:val="1"/>
                <w:bCs w:val="1"/>
                <w:color w:val="auto"/>
              </w:rPr>
              <w:t>Gaming</w:t>
            </w:r>
          </w:p>
        </w:tc>
        <w:tc>
          <w:tcPr>
            <w:tcW w:w="340" w:type="dxa"/>
            <w:vAlign w:val="bottom"/>
          </w:tcPr>
          <w:p>
            <w:pPr>
              <w:spacing w:after="0"/>
              <w:rPr>
                <w:sz w:val="13"/>
                <w:szCs w:val="13"/>
                <w:color w:val="auto"/>
              </w:rPr>
            </w:pPr>
          </w:p>
        </w:tc>
        <w:tc>
          <w:tcPr>
            <w:tcW w:w="17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Gamer and</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3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340" w:type="dxa"/>
            <w:vAlign w:val="bottom"/>
          </w:tcPr>
          <w:p>
            <w:pPr>
              <w:spacing w:after="0"/>
              <w:rPr>
                <w:sz w:val="12"/>
                <w:szCs w:val="12"/>
                <w:color w:val="auto"/>
              </w:rPr>
            </w:pPr>
          </w:p>
        </w:tc>
        <w:tc>
          <w:tcPr>
            <w:tcW w:w="17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Creator</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340" w:type="dxa"/>
            <w:vAlign w:val="bottom"/>
          </w:tcPr>
          <w:p>
            <w:pPr>
              <w:spacing w:after="0"/>
              <w:rPr>
                <w:sz w:val="15"/>
                <w:szCs w:val="15"/>
                <w:color w:val="auto"/>
              </w:rPr>
            </w:pPr>
          </w:p>
        </w:tc>
        <w:tc>
          <w:tcPr>
            <w:tcW w:w="17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Peripherals</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8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148,956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208,809</w:t>
            </w: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320" w:type="dxa"/>
            <w:vAlign w:val="bottom"/>
          </w:tcPr>
          <w:p>
            <w:pPr>
              <w:spacing w:after="0"/>
              <w:rPr>
                <w:sz w:val="18"/>
                <w:szCs w:val="18"/>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3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0"/>
        </w:trPr>
        <w:tc>
          <w:tcPr>
            <w:tcW w:w="48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148,944</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208,455</w:t>
            </w:r>
          </w:p>
        </w:tc>
        <w:tc>
          <w:tcPr>
            <w:tcW w:w="1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-170815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is a summary of intangible assets, net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900" w:type="dxa"/>
            <w:vAlign w:val="bottom"/>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28,012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18,114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9,898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31,912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19,891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12,021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45,961</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30,240</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14,935</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31,026</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216,869</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186,384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30,485</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216,869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180,962</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35,907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Patent portfolio</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35,893</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7,502</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27,624</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8,826</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Supplier relationships</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5,876</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4,162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1,714</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5,997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3,997</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
        </w:trPr>
        <w:tc>
          <w:tcPr>
            <w:tcW w:w="25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finite-life intangibles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332,611</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252,772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79,839</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337,189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247,409</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89,780</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 life trade name</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35,430</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35,430</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35,430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35,430</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intangible assets</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368,041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252,772</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115,269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372,619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247,409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125,210</w:t>
            </w: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-591185</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-591185</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-591185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-591185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-591185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-25400</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-8255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-25400</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In the year when an identified intangible asset becomes fully amortized, the fully amortized balances from the gross asset and accumulated amortization amounts are removed from the table above.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March 31, 2026 is as follows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34"/>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25,375</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100" w:type="dxa"/>
            <w:vAlign w:val="bottom"/>
          </w:tcPr>
          <w:p>
            <w:pPr>
              <w:spacing w:after="0"/>
              <w:rPr>
                <w:sz w:val="18"/>
                <w:szCs w:val="18"/>
                <w:color w:val="auto"/>
              </w:rPr>
            </w:pPr>
          </w:p>
        </w:tc>
      </w:tr>
      <w:tr>
        <w:trPr>
          <w:trHeight w:val="249"/>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79,839</w:t>
            </w:r>
          </w:p>
        </w:tc>
        <w:tc>
          <w:tcPr>
            <w:tcW w:w="100" w:type="dxa"/>
            <w:vAlign w:val="bottom"/>
            <w:shd w:val="clear" w:color="auto" w:fill="CFF0FC"/>
          </w:tcPr>
          <w:p>
            <w:pPr>
              <w:spacing w:after="0"/>
              <w:rPr>
                <w:sz w:val="21"/>
                <w:szCs w:val="21"/>
                <w:color w:val="auto"/>
              </w:rPr>
            </w:pPr>
          </w:p>
        </w:tc>
      </w:tr>
      <w:tr>
        <w:trPr>
          <w:trHeight w:val="629"/>
        </w:trPr>
        <w:tc>
          <w:tcPr>
            <w:tcW w:w="7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64"/>
        </w:trPr>
        <w:tc>
          <w:tcPr>
            <w:tcW w:w="7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tables present the components of certain balance sheet amounts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7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34"/>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118,152</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97,183</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cash—short term</w:t>
            </w:r>
          </w:p>
        </w:tc>
        <w:tc>
          <w:tcPr>
            <w:tcW w:w="12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cash—noncurrent</w:t>
            </w:r>
          </w:p>
        </w:tc>
        <w:tc>
          <w:tcPr>
            <w:tcW w:w="120" w:type="dxa"/>
            <w:vAlign w:val="bottom"/>
            <w:shd w:val="clear" w:color="auto" w:fill="CFF0FC"/>
          </w:tcPr>
          <w:p>
            <w:pPr>
              <w:spacing w:after="0"/>
              <w:rPr>
                <w:sz w:val="18"/>
                <w:szCs w:val="18"/>
                <w:color w:val="auto"/>
              </w:rPr>
            </w:pPr>
          </w:p>
        </w:tc>
        <w:tc>
          <w:tcPr>
            <w:tcW w:w="17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75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119,748</w:t>
            </w: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98,833</w:t>
            </w:r>
          </w:p>
        </w:tc>
      </w:tr>
      <w:tr>
        <w:trPr>
          <w:trHeight w:val="20"/>
        </w:trPr>
        <w:tc>
          <w:tcPr>
            <w:tcW w:w="7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-1593850</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Q1 2026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34"/>
        </w:trPr>
        <w:tc>
          <w:tcPr>
            <w:tcW w:w="4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24"/>
                <w:szCs w:val="24"/>
                <w:color w:val="auto"/>
                <w:vertAlign w:val="superscript"/>
              </w:rPr>
              <w:t>(1)</w:t>
            </w:r>
          </w:p>
        </w:tc>
        <w:tc>
          <w:tcPr>
            <w:tcW w:w="28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178,701</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234,226</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4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178,375</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233,900</w:t>
            </w:r>
          </w:p>
        </w:tc>
        <w:tc>
          <w:tcPr>
            <w:tcW w:w="100" w:type="dxa"/>
            <w:vAlign w:val="bottom"/>
            <w:shd w:val="clear" w:color="auto" w:fill="CFF0FC"/>
          </w:tcPr>
          <w:p>
            <w:pPr>
              <w:spacing w:after="0"/>
              <w:rPr>
                <w:sz w:val="19"/>
                <w:szCs w:val="19"/>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ind w:left="900" w:right="180" w:hanging="383"/>
        <w:spacing w:after="0" w:line="281" w:lineRule="auto"/>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As of March 31, 2026, two customers represented 45.1% and 13.6% of our accounts receivable, net balance, respectively. As of December 31, 2025, two customers represented 42.0% and 14.4% of our accounts receivable, net balance, respectively.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34"/>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48,647</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72,516</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12,875</w:t>
            </w:r>
          </w:p>
        </w:tc>
      </w:tr>
      <w:tr>
        <w:trPr>
          <w:trHeight w:val="216"/>
        </w:trPr>
        <w:tc>
          <w:tcPr>
            <w:tcW w:w="7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212,835</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217,945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273,466</w:t>
            </w:r>
          </w:p>
        </w:tc>
        <w:tc>
          <w:tcPr>
            <w:tcW w:w="3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303,336</w:t>
            </w:r>
          </w:p>
        </w:tc>
      </w:tr>
      <w:tr>
        <w:trPr>
          <w:trHeight w:val="20"/>
        </w:trPr>
        <w:tc>
          <w:tcPr>
            <w:tcW w:w="7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consigned inventories included within our raw material and work in progress were $1.4 million and $6.8 million, respectively. As of December 31, 2025, consigned inventories included within our raw material and work in progress were $1.2 million and $12.0 million, respectively.</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34"/>
        </w:trPr>
        <w:tc>
          <w:tcPr>
            <w:tcW w:w="7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31,970</w:t>
            </w:r>
          </w:p>
        </w:tc>
        <w:tc>
          <w:tcPr>
            <w:tcW w:w="3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30,957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23,368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23,260</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software and office equipment</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20,256</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19,194</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7,337</w:t>
            </w:r>
          </w:p>
        </w:tc>
      </w:tr>
      <w:tr>
        <w:trPr>
          <w:trHeight w:val="20"/>
        </w:trPr>
        <w:tc>
          <w:tcPr>
            <w:tcW w:w="7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83,588</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80,748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(49,234)</w:t>
            </w:r>
          </w:p>
        </w:tc>
      </w:tr>
      <w:tr>
        <w:trPr>
          <w:trHeight w:val="20"/>
        </w:trPr>
        <w:tc>
          <w:tcPr>
            <w:tcW w:w="7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31,165</w:t>
            </w:r>
          </w:p>
        </w:tc>
        <w:tc>
          <w:tcPr>
            <w:tcW w:w="3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31,514</w:t>
            </w:r>
          </w:p>
        </w:tc>
      </w:tr>
      <w:tr>
        <w:trPr>
          <w:trHeight w:val="199"/>
        </w:trPr>
        <w:tc>
          <w:tcPr>
            <w:tcW w:w="74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top w:val="single" w:sz="8" w:color="CFF0FC"/>
            </w:tcBorders>
          </w:tcPr>
          <w:p>
            <w:pPr>
              <w:spacing w:after="0"/>
              <w:rPr>
                <w:sz w:val="17"/>
                <w:szCs w:val="17"/>
                <w:color w:val="auto"/>
              </w:rPr>
            </w:pPr>
          </w:p>
        </w:tc>
      </w:tr>
      <w:tr>
        <w:trPr>
          <w:trHeight w:val="173"/>
        </w:trPr>
        <w:tc>
          <w:tcPr>
            <w:tcW w:w="74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34"/>
        </w:trPr>
        <w:tc>
          <w:tcPr>
            <w:tcW w:w="7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56,634</w:t>
            </w:r>
          </w:p>
        </w:tc>
        <w:tc>
          <w:tcPr>
            <w:tcW w:w="16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57,600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73,897</w:t>
            </w:r>
          </w:p>
        </w:tc>
        <w:tc>
          <w:tcPr>
            <w:tcW w:w="160" w:type="dxa"/>
            <w:vAlign w:val="bottom"/>
          </w:tcPr>
          <w:p>
            <w:pPr>
              <w:spacing w:after="0"/>
              <w:rPr>
                <w:sz w:val="18"/>
                <w:szCs w:val="18"/>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73,587</w:t>
            </w:r>
          </w:p>
        </w:tc>
        <w:tc>
          <w:tcPr>
            <w:tcW w:w="10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-890905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-873760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70"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-3175</wp:posOffset>
            </wp:positionV>
            <wp:extent cx="10801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-3175</wp:posOffset>
            </wp:positionV>
            <wp:extent cx="10629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9140" w:space="720"/>
            <w:col w:w="13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Accrued reserves for customer incentive programs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55,532</w:t>
            </w:r>
          </w:p>
        </w:tc>
        <w:tc>
          <w:tcPr>
            <w:tcW w:w="300" w:type="dxa"/>
            <w:vAlign w:val="bottom"/>
          </w:tcPr>
          <w:p>
            <w:pPr>
              <w:spacing w:after="0"/>
              <w:rPr>
                <w:sz w:val="20"/>
                <w:szCs w:val="20"/>
                <w:color w:val="auto"/>
              </w:rPr>
            </w:pPr>
          </w:p>
        </w:tc>
        <w:tc>
          <w:tcPr>
            <w:tcW w:w="240" w:type="dxa"/>
            <w:vAlign w:val="bottom"/>
          </w:tcPr>
          <w:p>
            <w:pPr>
              <w:jc w:val="right"/>
              <w:ind w:right="110"/>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61,173</w:t>
            </w:r>
          </w:p>
        </w:tc>
        <w:tc>
          <w:tcPr>
            <w:tcW w:w="100" w:type="dxa"/>
            <w:vAlign w:val="bottom"/>
          </w:tcPr>
          <w:p>
            <w:pPr>
              <w:spacing w:after="0"/>
              <w:rPr>
                <w:sz w:val="20"/>
                <w:szCs w:val="20"/>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reserves for sales returns</w:t>
            </w:r>
          </w:p>
        </w:tc>
        <w:tc>
          <w:tcPr>
            <w:tcW w:w="320" w:type="dxa"/>
            <w:vAlign w:val="bottom"/>
            <w:shd w:val="clear" w:color="auto" w:fill="CFF0FC"/>
          </w:tcPr>
          <w:p>
            <w:pPr>
              <w:spacing w:after="0"/>
              <w:rPr>
                <w:sz w:val="18"/>
                <w:szCs w:val="18"/>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34,807</w:t>
            </w:r>
          </w:p>
        </w:tc>
        <w:tc>
          <w:tcPr>
            <w:tcW w:w="3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26,830</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shd w:val="clear" w:color="auto" w:fill="CFF0FC"/>
          </w:tcPr>
          <w:p>
            <w:pPr>
              <w:spacing w:after="0"/>
              <w:rPr>
                <w:sz w:val="18"/>
                <w:szCs w:val="18"/>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3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Accrued freight expenses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use tax and value-added tax payable</w:t>
            </w:r>
          </w:p>
        </w:tc>
        <w:tc>
          <w:tcPr>
            <w:tcW w:w="320" w:type="dxa"/>
            <w:vAlign w:val="bottom"/>
            <w:shd w:val="clear" w:color="auto" w:fill="CFF0FC"/>
          </w:tcPr>
          <w:p>
            <w:pPr>
              <w:spacing w:after="0"/>
              <w:rPr>
                <w:sz w:val="18"/>
                <w:szCs w:val="18"/>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3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FF0FC"/>
          </w:tcPr>
          <w:p>
            <w:pPr>
              <w:spacing w:after="0"/>
              <w:rPr>
                <w:sz w:val="18"/>
                <w:szCs w:val="18"/>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3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24,268</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25,925</w:t>
            </w:r>
          </w:p>
        </w:tc>
        <w:tc>
          <w:tcPr>
            <w:tcW w:w="100" w:type="dxa"/>
            <w:vAlign w:val="bottom"/>
          </w:tcPr>
          <w:p>
            <w:pPr>
              <w:spacing w:after="0"/>
              <w:rPr>
                <w:sz w:val="18"/>
                <w:szCs w:val="18"/>
                <w:color w:val="auto"/>
              </w:rPr>
            </w:pPr>
          </w:p>
        </w:tc>
      </w:tr>
      <w:tr>
        <w:trPr>
          <w:trHeight w:val="250"/>
        </w:trPr>
        <w:tc>
          <w:tcPr>
            <w:tcW w:w="7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180,348</w:t>
            </w:r>
          </w:p>
        </w:tc>
        <w:tc>
          <w:tcPr>
            <w:tcW w:w="30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9"/>
        </w:trPr>
        <w:tc>
          <w:tcPr>
            <w:tcW w:w="7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7"/>
                <w:szCs w:val="17"/>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34"/>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50,712</w:t>
            </w:r>
          </w:p>
        </w:tc>
        <w:tc>
          <w:tcPr>
            <w:tcW w:w="2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52,785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3,054</w:t>
            </w:r>
          </w:p>
        </w:tc>
        <w:tc>
          <w:tcPr>
            <w:tcW w:w="2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3,010</w:t>
            </w:r>
          </w:p>
        </w:tc>
      </w:tr>
      <w:tr>
        <w:trPr>
          <w:trHeight w:val="20"/>
        </w:trPr>
        <w:tc>
          <w:tcPr>
            <w:tcW w:w="7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53,766</w:t>
            </w:r>
          </w:p>
        </w:tc>
        <w:tc>
          <w:tcPr>
            <w:tcW w:w="2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55,795</w:t>
            </w:r>
          </w:p>
        </w:tc>
      </w:tr>
      <w:tr>
        <w:trPr>
          <w:trHeight w:val="20"/>
        </w:trPr>
        <w:tc>
          <w:tcPr>
            <w:tcW w:w="74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-753745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-736600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Q1 2026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June 30, 2025, we entered into an Amended and Restated Credit Agreement (the “Amended and Restated Credit Agreement”) with Bank of America, N.A. (“BofA”) to refinance our prior first lien credit and guaranty agreement with BofA, entered into on September 3, 2021. The Amended and Restated Credit Agreement provides for total commitments of $225.0 million, consisting of a $100.0 million five-year revolving credit facility maturing on June 30, 2030 (the “June 2030 Revolving Facility”) and a $125.0 million five-year term loan facility maturing on June 30, 2030 (the “June 2030 Term Loan”). The Amended and Restated Credit Agreement also permits, subject to conditions stated therein, additional incremental facilities in a maximum aggregate principal amount not to exceed $125.0 million.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Amended and Restated Credit Agreement has a variable rate structure. According to the provisions of the Amended and Restated Credit Agreement, the June 2030 Term Loan and June 2030 Revolving Facility each bears interest at our election, at either (a) term Secured Overnight Financing Rate (“SOFR”) plus a percentage spread (ranging from 1.50% to 2.50%) based on our total net leverage ratio or (b) the base rate (as described in the Amended and Restated Credit Agreement as the greatest of (i) Bank of America’s prime rate, (ii) the federal funds rate plus 0.50% and (iii) one-month term SOFR plus 1.0%) plus a percentage spread (ranging from 0.50% to 1.50%) based on the our total net leverage ratio.</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carrying value of our term loans (in thousands):</w:t>
      </w:r>
    </w:p>
    <w:tbl>
      <w:tblPr>
        <w:tblLayout w:type="fixed"/>
        <w:tblInd w:w="0" w:type="dxa"/>
        <w:tblCellMar>
          <w:top w:w="0" w:type="dxa"/>
          <w:left w:w="0" w:type="dxa"/>
          <w:bottom w:w="0" w:type="dxa"/>
          <w:right w:w="0" w:type="dxa"/>
        </w:tblCellMar>
      </w:tblPr>
      <w:tr>
        <w:trPr>
          <w:trHeight w:val="151"/>
        </w:trPr>
        <w:tc>
          <w:tcPr>
            <w:tcW w:w="7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2"/>
          </w:tcPr>
          <w:p>
            <w:pPr>
              <w:jc w:val="right"/>
              <w:ind w:right="70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right"/>
              <w:ind w:right="54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34"/>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2030 Term Loan</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120,313</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121,875</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Debt discount and issuance cost, net of amortization</w:t>
            </w:r>
          </w:p>
        </w:tc>
        <w:tc>
          <w:tcPr>
            <w:tcW w:w="3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w:t>
            </w:r>
          </w:p>
        </w:tc>
      </w:tr>
      <w:tr>
        <w:trPr>
          <w:trHeight w:val="209"/>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119,812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121,342</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debt maturing within one year, net</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100" w:type="dxa"/>
            <w:vAlign w:val="bottom"/>
          </w:tcPr>
          <w:p>
            <w:pPr>
              <w:spacing w:after="0"/>
              <w:rPr>
                <w:sz w:val="18"/>
                <w:szCs w:val="18"/>
                <w:color w:val="auto"/>
              </w:rPr>
            </w:pPr>
          </w:p>
        </w:tc>
      </w:tr>
      <w:tr>
        <w:trPr>
          <w:trHeight w:val="250"/>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113,691</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115,222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estimated fair value of the June 2030 Term Loan, which we have classified as a Level 2 financial instrument, was approximately $120.8 million.</w:t>
      </w:r>
    </w:p>
    <w:p>
      <w:pPr>
        <w:spacing w:after="0" w:line="54"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unused capacity of the June 2030 Revolving Facility was $99.6 million and $99.5 million as of March 31, 2026 and December 31, 2025, respectively.</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effective interest rate for our term loans, inclusive of the amortization of debt discount and debt issuance costs, was approximately 5.3% and 6.2% for the three months ended March 31, 2026 and 2025, respectively.</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Amended and Restated Credit Agreement contains covenants with which we must comply during the term of the agreement, which we believe are ordinary and standard for agreements of this nature, including the maintenance of a maximum Consolidated Total Net Leverage Ratio (“CTNL Ratio”) and a minimum Consolidated Interest Coverage Ratio (“CIC Ratio”) (as defined in the Amended and Restated Credit Agreement). According to the provisions of the Amended and Restated Credit Agreement, we are required to maintain a maximum CTNL Ratio of 3.00 to 1.00 and a minimum CIC ratio of 3.00 to 1.00, with the provision that the maximum CTNL Ratio can be temporarily increased to 3.50 to 1.00 upon the occurrence of a Qualified Acquisition (as defined in, and subject to the requirements of the Amended and Restated Credit Agreement). As of March 31, 2026, we were fully in compliance under the Amended and Restated Credit Agreement.</w:t>
      </w:r>
    </w:p>
    <w:p>
      <w:pPr>
        <w:spacing w:after="0" w:line="8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obligations under the Amended and Restated Credit Agreement are guaranteed by substantially all of our U.S. subsidiaries and secured by a security interest in substantially all assets of the Company and the guarantor subsidiaries, subject to certain exceptions detailed in the Amended and Credit Agreement and related ancillary documentation.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interest expense recognized for all periods presented (in thousands):</w:t>
      </w:r>
    </w:p>
    <w:p>
      <w:pPr>
        <w:spacing w:after="0" w:line="8"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340"/>
        <w:spacing w:after="0" w:line="23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48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34"/>
        </w:trPr>
        <w:tc>
          <w:tcPr>
            <w:tcW w:w="7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interest expense for term loan</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6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 and issuance cost</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r>
      <w:tr>
        <w:trPr>
          <w:trHeight w:val="216"/>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6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future principal payments under our total long-term debt as of March 31, 2026 are as follows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34"/>
        </w:trPr>
        <w:tc>
          <w:tcPr>
            <w:tcW w:w="90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2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tcPr>
          <w:p>
            <w:pPr>
              <w:spacing w:after="0"/>
              <w:rPr>
                <w:sz w:val="18"/>
                <w:szCs w:val="18"/>
                <w:color w:val="auto"/>
              </w:rPr>
            </w:pP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tcPr>
          <w:p>
            <w:pPr>
              <w:spacing w:after="0"/>
              <w:rPr>
                <w:sz w:val="18"/>
                <w:szCs w:val="18"/>
                <w:color w:val="auto"/>
              </w:rPr>
            </w:pP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96,875</w:t>
            </w:r>
          </w:p>
        </w:tc>
        <w:tc>
          <w:tcPr>
            <w:tcW w:w="12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120,313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our assurance-type warranty obligations were as follows (in thousands):</w:t>
      </w:r>
    </w:p>
    <w:p>
      <w:pPr>
        <w:spacing w:after="0" w:line="8"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40"/>
        <w:spacing w:after="0" w:line="23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34"/>
        </w:trPr>
        <w:tc>
          <w:tcPr>
            <w:tcW w:w="7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Warranty provision related to products shipped</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Deductions for warranty claims processed</w:t>
            </w: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(1,587)</w:t>
            </w: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various purchase commitments for goods or services. Our long-term non-cancelable purchase commitments consist primarily of multi-year contractual arrangements relating to subscriptions for our enterprise resource planning system and the related support services, in addition to commitments related to other cloud computing hosting arrangements. Total long-term non-cancelable purchase commitments as of March 31, 2026 and December 31, 2025 were $3.1 million and $3.9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Letters of credit outstanding as of March 31, 2026 and December 31, 2025 were $0.4 million and $0.5 million, respectively. No amounts have been drawn upon the letters of credit for the three months ended March 31, 2026 and for the year ended December 31,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may from time to time be involved in various claims and legal proceedings of a character normally incidental to the ordinary course of business. Litigation can be expensive and disruptive to normal business operations, and the results of complex legal proceedings are difficult to predict, and our view of these matters may change in the future as the litigation and events related thereto unfold. We expense legal fees as incurred and we record a provision for contingent losses when it is both probable that a liability has been incurred and the amount of the loss can be reasonably estimated. Based on currently available information, we believe there are no existing claims or proceedings that are likely to have a material adverse effect on our financial position, or the outcome of these matters is currently not determinable. An unfavorable outcome to any legal matter, if material, could have an adverse effect on our operations or financial position, liquidity,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consolidated balance sheets, statements of operations, or statements of cash flows. We currently have directors’ and officers’ insurance.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On January 30, 2026, the Board of Directors authorized us to repurchase up to $50 million of our outstanding shares of common stock. This represents Corsair’s first repurchase authorization. This program has no expiration date and may be suspended or discontinued at any time.</w:t>
      </w:r>
    </w:p>
    <w:p>
      <w:pPr>
        <w:spacing w:after="0" w:line="5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repurchased approximately 0.9 million shares of our common stock for an aggregate cost of $5.0 million. As of March 31, 2026, approximately $45.0 million remained available under this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Shelf-Registration Statement</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On August 7, 2025, we filed a shelf registration statement on Form S-3 with the SEC, which was declared effective August 15, 2025 (the “2025 Shelf Registration Statement”). The 2025 Shelf Registration Statement registered securities to be offered by us, in an amount up to $300.0 million, including common stock, preferred stock and warrants though through August 15, 2028. As of March 31, 2026, all $300.0 million remained unsold. The shelf also registered 56,300,771 shares held by certain selling securityholders, all of which remained unsold.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Incentive Plans and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we have two active equity incentive plans: the 2020 Equity Incentive Plan and the Employee Stock Purchase Plan (“ESPP”).</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we may grant performance stock units (“PSUs”) to certain members of our management team under the 2020 Equity Incentive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99"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In February 2026, we granted PSUs (the “2026 PSUs”) to certain members of our management team under the 2020 Equity Incentive Plan. Vesting of the 2026 PSUs is conditional upon the achievement of certain financial performance targets tied to the year ending December 31, 2026. The number of units that may be earned range from 0% to 200% of the target shares based on the achievement of the performance conditions, with vesting subject to such performance achievement and continued service. In the event the minimum targets are not achieved, no 2026 PSUs would vest.</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February 2025, we granted PSUs (“2025 PSUs”) to certain members of our management team under the 2020 Equity Incentive Plan. Vesting of the 2025 PSUs is conditional upon the achievement of certain financial performance targets tied to the Company’s 2025 financial performance and the number of 2025 PSUs earned was certified and approved by the Board in February 2026. One-third of the earned 2025 PSUs vested in the first quarter of 2026, with the remaining two-thirds vesting quarterly over the subsequent two years, subject to continued service.</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measure and recognize compensation for all stock-based compensation awards, including stock options, stock purchase rights, restricted stock units (“RSU”) and PSU, based upon the grant-date fair value of those awards. The grant-date fair value of our stock options and stock purchase rights is estimated using a Black-Scholes-Merton option-pricing model. The fair value of our RSUs and PSUs are calculated based on the market value of our stock at the grant date.</w:t>
      </w:r>
    </w:p>
    <w:p>
      <w:pPr>
        <w:spacing w:after="0" w:line="72" w:lineRule="exact"/>
        <w:rPr>
          <w:sz w:val="20"/>
          <w:szCs w:val="20"/>
          <w:color w:val="auto"/>
        </w:rPr>
      </w:pPr>
    </w:p>
    <w:p>
      <w:pPr>
        <w:ind w:right="68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by line item in the condensed consolidated statements of operations (in thousands):</w:t>
      </w:r>
    </w:p>
    <w:p>
      <w:pPr>
        <w:jc w:val="center"/>
        <w:ind w:left="7140"/>
        <w:spacing w:after="0" w:line="221" w:lineRule="auto"/>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140"/>
        <w:spacing w:after="0" w:line="232"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r>
      <w:tr>
        <w:trPr>
          <w:trHeight w:val="34"/>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w:t>
            </w:r>
          </w:p>
        </w:tc>
        <w:tc>
          <w:tcPr>
            <w:tcW w:w="240" w:type="dxa"/>
            <w:vAlign w:val="bottom"/>
          </w:tcPr>
          <w:p>
            <w:pPr>
              <w:spacing w:after="0"/>
              <w:rPr>
                <w:sz w:val="18"/>
                <w:szCs w:val="18"/>
                <w:color w:val="auto"/>
              </w:rPr>
            </w:pPr>
          </w:p>
        </w:tc>
      </w:tr>
      <w:tr>
        <w:trPr>
          <w:trHeight w:val="216"/>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0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5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tcBorders>
              <w:bottom w:val="single" w:sz="8" w:color="CFF0FC"/>
            </w:tcBorders>
            <w:shd w:val="clear" w:color="auto" w:fill="CFF0FC"/>
          </w:tcPr>
          <w:p>
            <w:pPr>
              <w:spacing w:after="0"/>
              <w:rPr>
                <w:sz w:val="18"/>
                <w:szCs w:val="18"/>
                <w:color w:val="auto"/>
              </w:rPr>
            </w:pPr>
          </w:p>
        </w:tc>
      </w:tr>
      <w:tr>
        <w:trPr>
          <w:trHeight w:val="210"/>
        </w:trPr>
        <w:tc>
          <w:tcPr>
            <w:tcW w:w="6400" w:type="dxa"/>
            <w:vAlign w:val="bottom"/>
          </w:tcPr>
          <w:p>
            <w:pPr>
              <w:ind w:left="140"/>
              <w:spacing w:after="0" w:line="210" w:lineRule="exact"/>
              <w:rPr>
                <w:sz w:val="20"/>
                <w:szCs w:val="20"/>
                <w:color w:val="auto"/>
              </w:rPr>
            </w:pPr>
            <w:r>
              <w:rPr>
                <w:rFonts w:ascii="Times New Roman" w:cs="Times New Roman" w:eastAsia="Times New Roman" w:hAnsi="Times New Roman"/>
                <w:sz w:val="18"/>
                <w:szCs w:val="18"/>
                <w:color w:val="auto"/>
              </w:rPr>
              <w:t xml:space="preserve">Stock-based compensation expense, net of amounts capitalized </w:t>
            </w:r>
            <w:r>
              <w:rPr>
                <w:rFonts w:ascii="Times New Roman" w:cs="Times New Roman" w:eastAsia="Times New Roman" w:hAnsi="Times New Roman"/>
                <w:sz w:val="24"/>
                <w:szCs w:val="24"/>
                <w:color w:val="auto"/>
                <w:vertAlign w:val="superscript"/>
              </w:rPr>
              <w:t>(1)</w:t>
            </w:r>
          </w:p>
        </w:tc>
        <w:tc>
          <w:tcPr>
            <w:tcW w:w="20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24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64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Excess income tax benefits related to stock-based compensation expense</w:t>
            </w:r>
          </w:p>
        </w:tc>
        <w:tc>
          <w:tcPr>
            <w:tcW w:w="2020" w:type="dxa"/>
            <w:vAlign w:val="bottom"/>
            <w:gridSpan w:val="2"/>
            <w:shd w:val="clear" w:color="auto" w:fill="CFF0FC"/>
          </w:tcPr>
          <w:p>
            <w:pPr>
              <w:jc w:val="right"/>
              <w:ind w:right="848"/>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86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-307975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-307975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expense capitalized were not material for each of the periods presented.</w:t>
      </w:r>
    </w:p>
    <w:p>
      <w:pPr>
        <w:spacing w:after="0" w:line="230" w:lineRule="exact"/>
        <w:rPr>
          <w:rFonts w:ascii="Times New Roman" w:cs="Times New Roman" w:eastAsia="Times New Roman" w:hAnsi="Times New Roman"/>
          <w:sz w:val="16"/>
          <w:szCs w:val="16"/>
          <w:color w:val="auto"/>
        </w:rPr>
      </w:pPr>
    </w:p>
    <w:p>
      <w:pPr>
        <w:ind w:left="3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Corsair Gaming, Inc. | Q1 2026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6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 summarizes by type of grant, the total unrecognized stock-based compensation expense and the remaining period over which such expense is expected to be recognized (in thousands, except number of years):</w:t>
      </w:r>
    </w:p>
    <w:tbl>
      <w:tblPr>
        <w:tblLayout w:type="fixed"/>
        <w:tblInd w:w="0" w:type="dxa"/>
        <w:tblCellMar>
          <w:top w:w="0" w:type="dxa"/>
          <w:left w:w="0" w:type="dxa"/>
          <w:bottom w:w="0" w:type="dxa"/>
          <w:right w:w="0" w:type="dxa"/>
        </w:tblCellMar>
      </w:tblPr>
      <w:tr>
        <w:trPr>
          <w:trHeight w:val="156"/>
        </w:trPr>
        <w:tc>
          <w:tcPr>
            <w:tcW w:w="75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3"/>
          </w:tcPr>
          <w:p>
            <w:pPr>
              <w:ind w:left="82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17"/>
        </w:trPr>
        <w:tc>
          <w:tcPr>
            <w:tcW w:w="7520" w:type="dxa"/>
            <w:vAlign w:val="bottom"/>
          </w:tcPr>
          <w:p>
            <w:pPr>
              <w:spacing w:after="0"/>
              <w:rPr>
                <w:sz w:val="10"/>
                <w:szCs w:val="10"/>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460" w:type="dxa"/>
            <w:vAlign w:val="bottom"/>
          </w:tcPr>
          <w:p>
            <w:pPr>
              <w:spacing w:after="0"/>
              <w:rPr>
                <w:sz w:val="10"/>
                <w:szCs w:val="10"/>
                <w:color w:val="auto"/>
              </w:rPr>
            </w:pPr>
          </w:p>
        </w:tc>
        <w:tc>
          <w:tcPr>
            <w:tcW w:w="1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Remaining Weighted</w:t>
            </w:r>
          </w:p>
        </w:tc>
        <w:tc>
          <w:tcPr>
            <w:tcW w:w="0" w:type="dxa"/>
            <w:vAlign w:val="bottom"/>
          </w:tcPr>
          <w:p>
            <w:pPr>
              <w:spacing w:after="0"/>
              <w:rPr>
                <w:sz w:val="1"/>
                <w:szCs w:val="1"/>
                <w:color w:val="auto"/>
              </w:rPr>
            </w:pPr>
          </w:p>
        </w:tc>
      </w:tr>
      <w:tr>
        <w:trPr>
          <w:trHeight w:val="173"/>
        </w:trPr>
        <w:tc>
          <w:tcPr>
            <w:tcW w:w="7520" w:type="dxa"/>
            <w:vAlign w:val="bottom"/>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Period (In Years)</w:t>
            </w:r>
          </w:p>
        </w:tc>
        <w:tc>
          <w:tcPr>
            <w:tcW w:w="0" w:type="dxa"/>
            <w:vAlign w:val="bottom"/>
          </w:tcPr>
          <w:p>
            <w:pPr>
              <w:spacing w:after="0"/>
              <w:rPr>
                <w:sz w:val="1"/>
                <w:szCs w:val="1"/>
                <w:color w:val="auto"/>
              </w:rPr>
            </w:pPr>
          </w:p>
        </w:tc>
      </w:tr>
      <w:tr>
        <w:trPr>
          <w:trHeight w:val="34"/>
        </w:trPr>
        <w:tc>
          <w:tcPr>
            <w:tcW w:w="7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60" w:type="dxa"/>
            <w:vAlign w:val="bottom"/>
            <w:shd w:val="clear" w:color="auto" w:fill="CFF0FC"/>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17,579</w:t>
            </w:r>
          </w:p>
        </w:tc>
        <w:tc>
          <w:tcPr>
            <w:tcW w:w="2180" w:type="dxa"/>
            <w:vAlign w:val="bottom"/>
            <w:gridSpan w:val="2"/>
            <w:shd w:val="clear" w:color="auto" w:fill="CFF0FC"/>
          </w:tcPr>
          <w:p>
            <w:pPr>
              <w:jc w:val="center"/>
              <w:ind w:left="350"/>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28,343</w:t>
            </w:r>
          </w:p>
        </w:tc>
        <w:tc>
          <w:tcPr>
            <w:tcW w:w="21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w:t>
            </w: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2180" w:type="dxa"/>
            <w:vAlign w:val="bottom"/>
            <w:gridSpan w:val="2"/>
            <w:shd w:val="clear" w:color="auto" w:fill="CFF0FC"/>
          </w:tcPr>
          <w:p>
            <w:pPr>
              <w:jc w:val="center"/>
              <w:ind w:left="350"/>
              <w:spacing w:after="0"/>
              <w:rPr>
                <w:sz w:val="20"/>
                <w:szCs w:val="20"/>
                <w:color w:val="auto"/>
              </w:rPr>
            </w:pPr>
            <w:r>
              <w:rPr>
                <w:rFonts w:ascii="Times New Roman" w:cs="Times New Roman" w:eastAsia="Times New Roman" w:hAnsi="Times New Roman"/>
                <w:sz w:val="18"/>
                <w:szCs w:val="18"/>
                <w:color w:val="auto"/>
                <w:w w:val="97"/>
              </w:rPr>
              <w:t>2.7</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1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49"/>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560" w:type="dxa"/>
            <w:vAlign w:val="bottom"/>
            <w:tcBorders>
              <w:bottom w:val="single" w:sz="8" w:color="auto"/>
            </w:tcBorders>
            <w:shd w:val="clear" w:color="auto" w:fill="CFF0FC"/>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52,603</w:t>
            </w:r>
          </w:p>
        </w:tc>
        <w:tc>
          <w:tcPr>
            <w:tcW w:w="46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loss per share (in thousands, except per share amounts):</w:t>
      </w:r>
    </w:p>
    <w:p>
      <w:pPr>
        <w:spacing w:after="0" w:line="11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34"/>
        </w:trPr>
        <w:tc>
          <w:tcPr>
            <w:tcW w:w="7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(10,317)</w:t>
            </w:r>
          </w:p>
        </w:tc>
      </w:tr>
      <w:tr>
        <w:trPr>
          <w:trHeight w:val="216"/>
        </w:trPr>
        <w:tc>
          <w:tcPr>
            <w:tcW w:w="77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(10,459)</w:t>
            </w:r>
          </w:p>
        </w:tc>
      </w:tr>
      <w:tr>
        <w:trPr>
          <w:trHeight w:val="216"/>
        </w:trPr>
        <w:tc>
          <w:tcPr>
            <w:tcW w:w="7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w:t>
            </w: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(920)</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FF0FC"/>
          </w:tcPr>
          <w:p>
            <w:pPr>
              <w:spacing w:after="0"/>
              <w:rPr>
                <w:sz w:val="18"/>
                <w:szCs w:val="18"/>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common stockholders of Corsair Gaming, Inc.</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(10,067)</w:t>
            </w:r>
          </w:p>
        </w:tc>
      </w:tr>
      <w:tr>
        <w:trPr>
          <w:trHeight w:val="20"/>
        </w:trPr>
        <w:tc>
          <w:tcPr>
            <w:tcW w:w="7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106,867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105,240</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diluted weighted-average shares outstanding</w:t>
            </w:r>
          </w:p>
        </w:tc>
        <w:tc>
          <w:tcPr>
            <w:tcW w:w="9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107,774</w:t>
            </w: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105,240</w:t>
            </w:r>
          </w:p>
        </w:tc>
        <w:tc>
          <w:tcPr>
            <w:tcW w:w="120" w:type="dxa"/>
            <w:vAlign w:val="bottom"/>
            <w:tcBorders>
              <w:top w:val="single" w:sz="8" w:color="CFF0FC"/>
            </w:tcBorders>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 of Corsair Gaming, Inc.:</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7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760" w:type="dxa"/>
            <w:vAlign w:val="bottom"/>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shd w:val="clear" w:color="auto" w:fill="CFF0FC"/>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(0.10)</w:t>
            </w:r>
          </w:p>
        </w:tc>
      </w:tr>
      <w:tr>
        <w:trPr>
          <w:trHeight w:val="391"/>
        </w:trPr>
        <w:tc>
          <w:tcPr>
            <w:tcW w:w="7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Anti-dilutive potential common shares </w:t>
            </w:r>
            <w:r>
              <w:rPr>
                <w:rFonts w:ascii="Arial" w:cs="Arial" w:eastAsia="Arial" w:hAnsi="Arial"/>
                <w:sz w:val="26"/>
                <w:szCs w:val="26"/>
                <w:color w:val="auto"/>
                <w:vertAlign w:val="superscript"/>
              </w:rPr>
              <w:t>(1)</w:t>
            </w:r>
          </w:p>
        </w:tc>
        <w:tc>
          <w:tcPr>
            <w:tcW w:w="9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26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13,819</w:t>
            </w:r>
          </w:p>
        </w:tc>
        <w:tc>
          <w:tcPr>
            <w:tcW w:w="12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-1897380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-1897380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-1614805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-1614805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-1031875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-1031875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-285750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-268605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-285750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-268605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 w:lineRule="exact"/>
        <w:rPr>
          <w:sz w:val="20"/>
          <w:szCs w:val="20"/>
          <w:color w:val="auto"/>
        </w:rPr>
      </w:pPr>
    </w:p>
    <w:p>
      <w:pPr>
        <w:ind w:left="1020" w:hanging="503"/>
        <w:spacing w:after="0"/>
        <w:tabs>
          <w:tab w:leader="none" w:pos="102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common share equivalents were not included in the calculation of diluted net loss per share as the effect would have been anti-dilutive.</w:t>
      </w:r>
    </w:p>
    <w:p>
      <w:pPr>
        <w:spacing w:after="0" w:line="226" w:lineRule="exact"/>
        <w:rPr>
          <w:rFonts w:ascii="Times New Roman" w:cs="Times New Roman" w:eastAsia="Times New Roman" w:hAnsi="Times New Roman"/>
          <w:sz w:val="16"/>
          <w:szCs w:val="16"/>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right="2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 presents our loss before income taxes, income tax expense and effective income tax rates for all periods presented (in thousands, except percentages):</w:t>
      </w:r>
    </w:p>
    <w:p>
      <w:pPr>
        <w:jc w:val="center"/>
        <w:ind w:left="7340"/>
        <w:spacing w:after="0" w:line="221" w:lineRule="auto"/>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-3175</wp:posOffset>
            </wp:positionV>
            <wp:extent cx="21602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r>
      <w:tr>
        <w:trPr>
          <w:trHeight w:val="34"/>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52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(8,256)</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(2,061)</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r>
    </w:tbl>
    <w:p>
      <w:pPr>
        <w:spacing w:after="0" w:line="9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U.S. income, the utilization of net operating loss and tax credit carry forwards, changes in geographic mix of income and expense, changes in management’s assessment of matters such as the ability to realize deferred tax assets, and changes in tax laws.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rates were a tax benefit of 1.2% and a tax expense of (25.0)% for the three months ended March 31, 2026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2025, respectively. The US tax provision for the quarters ended March 31, 2026 and 2025 was consistently recorded based on actual quarterly tax provision in lieu of annual projected effective tax rate. The change in effective tax rate for the three months ended March 31, 2026 as compared to the three months ended March 31, 2025 was primarily due to a change in the mix of income and losses in the various tax jurisdictions in which we operate, as well as a discrete tax benefit of approximately $1 million recognized in the current year period related to the transfer of intellectual property from the UK to the US as part of a reorganization relating to our controller products.</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assess our deferred tax assets and liabilities to determine if it is more likely than not that they will be realized; if not, a valuation allowance is required to be recorded. Previously, in the third quarter of 2024, we reached a cumulative loss position over the previous three years, and with consideration of other negative evidence, we concluded that it is more likely than not that we will not realize our U.S. federal and state deferred tax assets. As a result of the foregoing, a full valuation allowance was recorded for the quarter ended September 30, 2024. The deferred tax liability related to indefinite-lived assets was excluded from sources of future taxable income, as the timing of its reversal cannot be predicted due to the nature of its indefinite life.</w:t>
      </w:r>
    </w:p>
    <w:p>
      <w:pPr>
        <w:spacing w:after="0" w:line="7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Unrecognized tax benefits were $3.9 million as of March 31, 2026 and $3.8 million as of December 31, 2025, respectively, and if recognized, would favorably affect the effective income tax rate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and Geographic Information and Major Customers</w:t>
      </w:r>
    </w:p>
    <w:p>
      <w:pPr>
        <w:spacing w:after="0" w:line="121" w:lineRule="exact"/>
        <w:rPr>
          <w:sz w:val="20"/>
          <w:szCs w:val="20"/>
          <w:color w:val="auto"/>
        </w:rPr>
      </w:pPr>
    </w:p>
    <w:p>
      <w:pPr>
        <w:ind w:right="60" w:firstLine="509"/>
        <w:spacing w:after="0" w:line="276" w:lineRule="auto"/>
        <w:rPr>
          <w:sz w:val="20"/>
          <w:szCs w:val="20"/>
          <w:color w:val="auto"/>
        </w:rPr>
      </w:pPr>
      <w:r>
        <w:rPr>
          <w:rFonts w:ascii="Times New Roman" w:cs="Times New Roman" w:eastAsia="Times New Roman" w:hAnsi="Times New Roman"/>
          <w:sz w:val="17"/>
          <w:szCs w:val="17"/>
          <w:color w:val="auto"/>
        </w:rPr>
        <w:t>Operating segments are based on components of a company that engage in business activity that earn revenue and incur expenses and (a) whose operating results are regularly reviewed by its chief operating decision maker (“CODM”) to make decisions about resource allocation and performance and</w:t>
      </w:r>
    </w:p>
    <w:p>
      <w:pPr>
        <w:spacing w:after="0" w:line="1" w:lineRule="exact"/>
        <w:rPr>
          <w:sz w:val="20"/>
          <w:szCs w:val="20"/>
          <w:color w:val="auto"/>
        </w:rPr>
      </w:pPr>
    </w:p>
    <w:p>
      <w:pPr>
        <w:ind w:right="160" w:firstLine="8"/>
        <w:spacing w:after="0" w:line="26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discrete financial information is available. By this definition, we have identified our Chief Executive Officer as the CODM. We operate and report in two segments:</w:t>
      </w:r>
    </w:p>
    <w:p>
      <w:pPr>
        <w:spacing w:after="0" w:line="69" w:lineRule="exact"/>
        <w:rPr>
          <w:rFonts w:ascii="Times New Roman" w:cs="Times New Roman" w:eastAsia="Times New Roman" w:hAnsi="Times New Roman"/>
          <w:sz w:val="18"/>
          <w:szCs w:val="18"/>
          <w:color w:val="auto"/>
        </w:rPr>
      </w:pPr>
    </w:p>
    <w:p>
      <w:pPr>
        <w:ind w:left="1260" w:hanging="368"/>
        <w:spacing w:after="0" w:line="268" w:lineRule="auto"/>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Gamer and Creator Peripherals. </w:t>
      </w:r>
      <w:r>
        <w:rPr>
          <w:rFonts w:ascii="Times New Roman" w:cs="Times New Roman" w:eastAsia="Times New Roman" w:hAnsi="Times New Roman"/>
          <w:sz w:val="18"/>
          <w:szCs w:val="18"/>
          <w:color w:val="auto"/>
        </w:rPr>
        <w:t>Includes our high-performance gaming keyboards, mice, headsets, controllers, and our streaming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which includes capture cards, Stream Decks, microphones, teleprompters, and audio interfaces, our Facecam streaming cameras, studio accessories, command center displays, sim racing products, and gaming furniture, among others.</w:t>
      </w:r>
    </w:p>
    <w:p>
      <w:pPr>
        <w:spacing w:after="0" w:line="62" w:lineRule="exact"/>
        <w:rPr>
          <w:rFonts w:ascii="Times New Roman" w:cs="Times New Roman" w:eastAsia="Times New Roman" w:hAnsi="Times New Roman"/>
          <w:sz w:val="18"/>
          <w:szCs w:val="18"/>
          <w:color w:val="auto"/>
        </w:rPr>
      </w:pPr>
    </w:p>
    <w:p>
      <w:pPr>
        <w:ind w:left="1260" w:right="160" w:hanging="368"/>
        <w:spacing w:after="0" w:line="286" w:lineRule="auto"/>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Gaming Components and Systems. </w:t>
      </w:r>
      <w:r>
        <w:rPr>
          <w:rFonts w:ascii="Times New Roman" w:cs="Times New Roman" w:eastAsia="Times New Roman" w:hAnsi="Times New Roman"/>
          <w:sz w:val="18"/>
          <w:szCs w:val="18"/>
          <w:color w:val="auto"/>
        </w:rPr>
        <w:t>Includes our high-performance power supply units, cooling solutions, computer cases, and DRAM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modules, as well as high-end prebuilt and custom-built gaming PCs and laptops, and AI workstations, among others</w:t>
      </w:r>
    </w:p>
    <w:p>
      <w:pPr>
        <w:spacing w:after="0" w:line="5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this structure reflects our current operational and financial management, and that it provides the best structure for us to focus on growth opportunities while maintaining financial discipline.</w:t>
      </w:r>
    </w:p>
    <w:p>
      <w:pPr>
        <w:spacing w:after="0" w:line="54"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Our CODM reviews net revenue, and gross profit of these segments on a regular basis to evaluate the performance of, and allocates resources to, each of the two segments. The CODM considers budget-to-actual variances on a monthly basis when making decisions about allocating resources to the segments. Our CODM manages assets on a total company basis, not by operating segments; therefore, segmental asset information is not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Profit and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tables below present the reportable segment profit and loss measure - segment gross profit for each of the periods presented (in thousands):</w:t>
      </w:r>
    </w:p>
    <w:tbl>
      <w:tblPr>
        <w:tblLayout w:type="fixed"/>
        <w:tblInd w:w="0" w:type="dxa"/>
        <w:tblCellMar>
          <w:top w:w="0" w:type="dxa"/>
          <w:left w:w="0" w:type="dxa"/>
          <w:bottom w:w="0" w:type="dxa"/>
          <w:right w:w="0" w:type="dxa"/>
        </w:tblCellMar>
      </w:tblPr>
      <w:tr>
        <w:trPr>
          <w:trHeight w:val="151"/>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20" w:type="dxa"/>
            <w:vAlign w:val="bottom"/>
            <w:gridSpan w:val="4"/>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gridSpan w:val="4"/>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8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Gamer and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Gaming</w:t>
            </w:r>
          </w:p>
        </w:tc>
        <w:tc>
          <w:tcPr>
            <w:tcW w:w="180" w:type="dxa"/>
            <w:vAlign w:val="bottom"/>
          </w:tcPr>
          <w:p>
            <w:pPr>
              <w:spacing w:after="0"/>
              <w:rPr>
                <w:sz w:val="10"/>
                <w:szCs w:val="10"/>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Gamer and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Gaming</w:t>
            </w:r>
          </w:p>
        </w:tc>
        <w:tc>
          <w:tcPr>
            <w:tcW w:w="180" w:type="dxa"/>
            <w:vAlign w:val="bottom"/>
          </w:tcPr>
          <w:p>
            <w:pPr>
              <w:spacing w:after="0"/>
              <w:rPr>
                <w:sz w:val="10"/>
                <w:szCs w:val="10"/>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Creator</w:t>
            </w:r>
          </w:p>
        </w:tc>
        <w:tc>
          <w:tcPr>
            <w:tcW w:w="22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Creator</w:t>
            </w:r>
          </w:p>
        </w:tc>
        <w:tc>
          <w:tcPr>
            <w:tcW w:w="220" w:type="dxa"/>
            <w:vAlign w:val="bottom"/>
          </w:tcPr>
          <w:p>
            <w:pPr>
              <w:spacing w:after="0"/>
              <w:rPr>
                <w:sz w:val="12"/>
                <w:szCs w:val="12"/>
                <w:color w:val="auto"/>
              </w:rPr>
            </w:pPr>
          </w:p>
        </w:tc>
        <w:tc>
          <w:tcPr>
            <w:tcW w:w="110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Peripherals</w:t>
            </w:r>
          </w:p>
        </w:tc>
        <w:tc>
          <w:tcPr>
            <w:tcW w:w="22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Systems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Peripherals</w:t>
            </w:r>
          </w:p>
        </w:tc>
        <w:tc>
          <w:tcPr>
            <w:tcW w:w="22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Systems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Net revenue</w:t>
            </w:r>
            <w:r>
              <w:rPr>
                <w:rFonts w:ascii="Times New Roman" w:cs="Times New Roman" w:eastAsia="Times New Roman" w:hAnsi="Times New Roman"/>
                <w:sz w:val="24"/>
                <w:szCs w:val="24"/>
                <w:b w:val="1"/>
                <w:bCs w:val="1"/>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123,310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231,202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354,512</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111,973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257,777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Inventory costs </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62,454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162,371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224,825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204,297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165,463</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238,483</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65,559</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201,829</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267,388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65,739</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7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intersegment revenues between the reportable segments in the periods presented.</w:t>
      </w:r>
    </w:p>
    <w:p>
      <w:pPr>
        <w:spacing w:after="0" w:line="230" w:lineRule="exact"/>
        <w:rPr>
          <w:rFonts w:ascii="Times New Roman" w:cs="Times New Roman" w:eastAsia="Times New Roman" w:hAnsi="Times New Roman"/>
          <w:sz w:val="16"/>
          <w:szCs w:val="16"/>
          <w:color w:val="auto"/>
        </w:rPr>
      </w:pPr>
    </w:p>
    <w:p>
      <w:pPr>
        <w:ind w:left="3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Corsair Gaming, Inc. | Q1 2026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020" w:right="180" w:hanging="503"/>
        <w:spacing w:after="0" w:line="284" w:lineRule="auto"/>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significant expense in the reportable segment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profit or loss measure (i.e., gross profit), aligning with the segment-level information that is regularly provided to our CODM. Total inventory costs for the reportable segment include costs of purchases from contract manufacturers, and capitalized direct overhead costs recognized in cost of revenue for the periods presented.</w:t>
      </w:r>
    </w:p>
    <w:p>
      <w:pPr>
        <w:spacing w:after="0" w:line="66" w:lineRule="exact"/>
        <w:rPr>
          <w:rFonts w:ascii="Times New Roman" w:cs="Times New Roman" w:eastAsia="Times New Roman" w:hAnsi="Times New Roman"/>
          <w:sz w:val="16"/>
          <w:szCs w:val="16"/>
          <w:color w:val="auto"/>
        </w:rPr>
      </w:pPr>
    </w:p>
    <w:p>
      <w:pPr>
        <w:ind w:left="1020" w:right="60" w:hanging="503"/>
        <w:spacing w:after="0" w:line="281" w:lineRule="auto"/>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other segment items incurred in the periods presented, including inbound freight costs, duties and tariffs, warranty replacement cost to process and rework returned items, overhead and excess and obsolete inventory write-downs, and other costs. These costs are netted with inventory cost adjustments for product returns in the periods presented.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Major Customer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customer that individually comprised 10% or more of our total net revenue for the periods presented:</w:t>
      </w:r>
    </w:p>
    <w:p>
      <w:pPr>
        <w:spacing w:after="0" w:line="8"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-3175</wp:posOffset>
            </wp:positionV>
            <wp:extent cx="22199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r>
      <w:tr>
        <w:trPr>
          <w:trHeight w:val="34"/>
        </w:trPr>
        <w:tc>
          <w:tcPr>
            <w:tcW w:w="756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8680" w:type="dxa"/>
            <w:vAlign w:val="bottom"/>
            <w:gridSpan w:val="2"/>
            <w:shd w:val="clear" w:color="auto" w:fill="CFF0FC"/>
          </w:tcPr>
          <w:p>
            <w:pPr>
              <w:jc w:val="right"/>
              <w:ind w:right="7800"/>
              <w:spacing w:after="0"/>
              <w:rPr>
                <w:sz w:val="20"/>
                <w:szCs w:val="20"/>
                <w:color w:val="auto"/>
              </w:rPr>
            </w:pPr>
            <w:r>
              <w:rPr>
                <w:rFonts w:ascii="Times New Roman" w:cs="Times New Roman" w:eastAsia="Times New Roman" w:hAnsi="Times New Roman"/>
                <w:sz w:val="18"/>
                <w:szCs w:val="18"/>
                <w:color w:val="auto"/>
                <w:w w:val="98"/>
              </w:rPr>
              <w:t>Customer A</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other customer represented 10% or more of our total net revenue in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Major Products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net revenue by major product category for the periods presented (in thousands):</w:t>
      </w:r>
    </w:p>
    <w:p>
      <w:pPr>
        <w:spacing w:after="0" w:line="8"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21602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34"/>
        </w:trPr>
        <w:tc>
          <w:tcPr>
            <w:tcW w:w="7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Gamer and Creator Peripherals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Gaming Peripherals products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123,310</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111,973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Gaming Components and Systems segment</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Memory products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141,090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Component products</w:t>
            </w: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354,512</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369,750</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net revenue by geographic region based on the location of the customer (in thousands):</w:t>
      </w:r>
    </w:p>
    <w:p>
      <w:pPr>
        <w:spacing w:after="0" w:line="8"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21602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5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145,954</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168,397</w:t>
            </w:r>
          </w:p>
        </w:tc>
        <w:tc>
          <w:tcPr>
            <w:tcW w:w="100" w:type="dxa"/>
            <w:vAlign w:val="bottom"/>
          </w:tcPr>
          <w:p>
            <w:pPr>
              <w:spacing w:after="0"/>
              <w:rPr>
                <w:sz w:val="21"/>
                <w:szCs w:val="21"/>
                <w:color w:val="auto"/>
              </w:rPr>
            </w:pPr>
          </w:p>
        </w:tc>
      </w:tr>
      <w:tr>
        <w:trPr>
          <w:trHeight w:val="216"/>
        </w:trPr>
        <w:tc>
          <w:tcPr>
            <w:tcW w:w="7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Americas (excluding United States) </w:t>
            </w:r>
            <w:r>
              <w:rPr>
                <w:rFonts w:ascii="Times New Roman" w:cs="Times New Roman" w:eastAsia="Times New Roman" w:hAnsi="Times New Roman"/>
                <w:sz w:val="24"/>
                <w:szCs w:val="24"/>
                <w:color w:val="auto"/>
                <w:vertAlign w:val="superscript"/>
              </w:rPr>
              <w:t>(1)</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Europe and Middle East </w:t>
            </w:r>
            <w:r>
              <w:rPr>
                <w:rFonts w:ascii="Times New Roman" w:cs="Times New Roman" w:eastAsia="Times New Roman" w:hAnsi="Times New Roman"/>
                <w:sz w:val="24"/>
                <w:szCs w:val="24"/>
                <w:color w:val="auto"/>
                <w:vertAlign w:val="superscript"/>
              </w:rPr>
              <w:t>(1)</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137,596</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Asia Pacific </w:t>
            </w:r>
            <w:r>
              <w:rPr>
                <w:rFonts w:ascii="Times New Roman" w:cs="Times New Roman" w:eastAsia="Times New Roman" w:hAnsi="Times New Roman"/>
                <w:sz w:val="24"/>
                <w:szCs w:val="24"/>
                <w:color w:val="auto"/>
                <w:vertAlign w:val="superscript"/>
              </w:rPr>
              <w:t>(1)</w:t>
            </w: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51,699</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354,512</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369,750</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1020" w:hanging="503"/>
        <w:spacing w:after="0"/>
        <w:tabs>
          <w:tab w:leader="none" w:pos="10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individual country, other than disclosed above, represented 10% or more of our consolidated net revenue in the periods presented.</w:t>
      </w:r>
    </w:p>
    <w:p>
      <w:pPr>
        <w:spacing w:after="0" w:line="226" w:lineRule="exact"/>
        <w:rPr>
          <w:rFonts w:ascii="Times New Roman" w:cs="Times New Roman" w:eastAsia="Times New Roman" w:hAnsi="Times New Roman"/>
          <w:sz w:val="16"/>
          <w:szCs w:val="16"/>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 (“RNCI”)</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hold an 81% controlling interest in iDisplay, with the remaining 19% owned by the iDisplay Seller. The remaining 19% interest is subject to a put option held by the iDisplay Seller within one year after the fifth anniversary of July 1, 2024 and a call option held by Corsair at any time after the second anniversary of July 1, 2024, with exercise prices based on certain prescribed multiples of iDisplay’s historical trailing twelve-month EBITDA, less any debt.</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Because the redemption of the noncontrolling interest is not solely within our control, the carrying value of the remaining 19% interest in iDisplay is classified as temporary equity in our consolidated balance sheet.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RNCI for the periods presented (in thousands):</w:t>
      </w:r>
    </w:p>
    <w:p>
      <w:pPr>
        <w:spacing w:after="0" w:line="8"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80"/>
        <w:spacing w:after="0" w:line="23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34"/>
        </w:trPr>
        <w:tc>
          <w:tcPr>
            <w:tcW w:w="7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 of net income</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 of other comprehensive income (loss)</w:t>
            </w: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Dividend paid</w:t>
            </w:r>
          </w:p>
        </w:tc>
        <w:tc>
          <w:tcPr>
            <w:tcW w:w="10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redemption value</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(392)</w:t>
            </w: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14,535</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condensed consolidated financial statements and the related notes included elsewhere in this Quarterly Report on Form 10-Q as well as in conjunction with the Risk Factors set forth in Part I, Item 1A of our Annual Report on Form 10-K for the year ended December 31, 2025, as filed with the United States Securities and Exchange Commission (“SEC”) on February 25, 2026. The following discussion contains forward-looking statements based upon current expectations that involve risks and uncertainties. Our actual results could differ materially from those anticipated in these forward-looking statements as a result of many factors, including but not limited to those discussed under the heading “Risk Factors” in Part I, Item 1A of our Annual Report on Form 10-K for the year ended December 31, 2025, and below in Item 3,“Quantitative and Qualitative Disclosures about Market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64"/>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and innovator of high-performance products for gamers and digital creators, such as streamers, vloggers and broadcasters, many of whom build their own PCs using our components. Our industry-leading gaming products help digital athletes, from casual gamers to committed professionals, perform at their peak across PC or console platforms, and our streaming products enable creators, particularly streamers, to produce studio-quality content to share with friends or to broadcast to millions of fans. Our PC component products offer our customers multiple options to build their customized gaming and workstation desktop PCs. Our solution is the most complete suite of products that address the most critical components for both game performance and streaming. Our product offering is enhanced by our proprietary software platforms: iCUE and the Elgato streaming suite for content creators, including our Stream Deck control software, which provide unified, intuitive performance, aesthetic control and customization across our Corsair hardware ecosystem and Elgato streaming products. We also offer digital services to enhance the customer experience by integrating esports, Elgato's marketplace, customer care and extended warranty into our product offerings.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group our products into two categories (operating segments):</w:t>
      </w:r>
    </w:p>
    <w:p>
      <w:pPr>
        <w:spacing w:after="0" w:line="113" w:lineRule="exact"/>
        <w:rPr>
          <w:sz w:val="20"/>
          <w:szCs w:val="20"/>
          <w:color w:val="auto"/>
        </w:rPr>
      </w:pPr>
    </w:p>
    <w:p>
      <w:pPr>
        <w:ind w:left="1260" w:hanging="368"/>
        <w:spacing w:after="0" w:line="268"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Gamer and Creator Peripherals. </w:t>
      </w:r>
      <w:r>
        <w:rPr>
          <w:rFonts w:ascii="Times New Roman" w:cs="Times New Roman" w:eastAsia="Times New Roman" w:hAnsi="Times New Roman"/>
          <w:sz w:val="18"/>
          <w:szCs w:val="18"/>
          <w:color w:val="auto"/>
        </w:rPr>
        <w:t>Includes our high-performance gaming keyboards, mice, headsets, controllers, and streaming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includes capture cards, Stream Decks, microphones, teleprompters, and audio interfaces, our Facecam streaming cameras, studio accessories, command center displays, sim racing products, and gaming furniture, among others.</w:t>
      </w:r>
    </w:p>
    <w:p>
      <w:pPr>
        <w:spacing w:after="0" w:line="62" w:lineRule="exact"/>
        <w:rPr>
          <w:rFonts w:ascii="Times New Roman" w:cs="Times New Roman" w:eastAsia="Times New Roman" w:hAnsi="Times New Roman"/>
          <w:sz w:val="18"/>
          <w:szCs w:val="18"/>
          <w:color w:val="auto"/>
        </w:rPr>
      </w:pPr>
    </w:p>
    <w:p>
      <w:pPr>
        <w:ind w:left="1260" w:right="140" w:hanging="368"/>
        <w:spacing w:after="0" w:line="286"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Gaming Components and Systems. </w:t>
      </w:r>
      <w:r>
        <w:rPr>
          <w:rFonts w:ascii="Times New Roman" w:cs="Times New Roman" w:eastAsia="Times New Roman" w:hAnsi="Times New Roman"/>
          <w:sz w:val="18"/>
          <w:szCs w:val="18"/>
          <w:color w:val="auto"/>
        </w:rPr>
        <w:t>Includes our high-performance power supply units, cooling solutions, computer cases, and DRAM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modules, as well as high-end prebuilt and custom-built gaming PCs and laptops, and AI workstations, among others.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Results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net revenue was $354.5 million and $369.8 million for the three months ended March 31, 2026 and 2025, respectively. Our gross margin was 32.7% and 27.7% for the three months ended March 31, 2026 and 2025, respectively. We had a net income (loss) of $13.1 million and $(10.3) million for the three months ended March 31, 2026 and 2025, respectively.</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we had cash and restricted cash, in the aggregate of $119.7 million and the principal balance outstanding on our June 2030 Term Loan was $120.3 million. Cash generated from operations was $29.7 million and $18.8 million for the three months ended March 31, 2026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numerous factors, including those discussed under the heading “Risk Factors” in Part I, Item 1A of our Annual Report on Form 10-K for the year ended December 31, 2025, as well as those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Conditions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business and financial performance depend significantly on worldwide economic conditions. We continue to face global macroeconomic challenges including evolving dynamics in the global trade environment and changes in laws or policies governing the terms of foreign trade, in particular increased trade restrictions, tariffs or taxes on imports or exports from or to countries where we manufacture or sell our products, inflationary trends, uncertainty in key financial markets, and volatility in exchange rates.</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Recent geopolitical developments in the Middle East, including the conflict involving Iran, have contributed to volatility in global energy prices and transportation costs. These developments may increase our freight, logistics and other input costs and may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Q1 2026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also affect consumer spending due to broader economic uncertainty. While we continue to monitor the situation and implement mitigation actions, the duration, severity and broader economic consequences remain uncertain. Other geopolitical concerns include the ongoing conflicts in Ukraine and the broader Middle East, tensions in the Red Sea, and potential conflicts between China and Taiwan, and the resulting supply chain constraints.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Since February 2025, the U.S. government has proposed and in certain cases implemented new, substantial tariffs on imports to the United States from various countries, including Taiwan, China and Vietnam, where we manufacture or source our products. In February 2026, the U.S. Supreme Court ruled that certain tariffs previously imposed under the International Emergency Economic Powers Act (IEEPA) were invalid. While this ruling creates the potential for refunds of duties previously paid, the ultimate availability, timing, and amount of recovery remain uncertain and is subject to further legal and administrative developments. In March 2026, the U.S. Court of International Trade (CIT) issued an order directing U.S. Customs and Border Protection (CBP) to establish a process for the submission and review of refund claims related to affected IEEPA tariffs, and in April 2026, we submitted refund claims under that process. The ruling remains subject to a potential government appeal or stay request, with a deadline of June 7, 2026. As the recoverability and timing of any such refund remains uncertain, we have not recognized a receivable and corresponding offset to expense or asset as of March 31, 2026 and will not, until such amounts are realized or realizable. In addition, the U.S. federal government has recently introduced additional trade measures and investigations that may result in new tariffs. While we have taken actions to mitigate supply chain and cost impacts, including shifting production across jurisdictions, we may not fully offset ongoing trade and tariff developments.</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also experience seasonality in the sale of our products, which may be affected by general economic conditions. The extent of the impact of macroeconomic conditions and geopolitical tensions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spacing w:after="0" w:line="7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fluctuations in foreign currency exchange rates. As a result of our foreign sales and operations, we have revenue, payroll and other operating expenses denominated in foreign currencies, in particular the Euro, British Pound, Taiwan Dollar, and Chinese Yuan. Unfavorable movement in the exchange rate between the U.S. dollar and the currencies we conduct sales or operate in may negatively impact our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Industry Trends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results of operations and financial condition are impacted by industry trends in the gaming market, including:</w:t>
      </w:r>
    </w:p>
    <w:p>
      <w:pPr>
        <w:spacing w:after="0" w:line="331" w:lineRule="exact"/>
        <w:rPr>
          <w:sz w:val="20"/>
          <w:szCs w:val="20"/>
          <w:color w:val="auto"/>
        </w:rPr>
      </w:pPr>
    </w:p>
    <w:p>
      <w:pPr>
        <w:ind w:left="1260" w:hanging="368"/>
        <w:spacing w:after="0" w:line="254"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Increasing gaming engagement</w:t>
      </w:r>
      <w:r>
        <w:rPr>
          <w:rFonts w:ascii="Times New Roman" w:cs="Times New Roman" w:eastAsia="Times New Roman" w:hAnsi="Times New Roman"/>
          <w:sz w:val="18"/>
          <w:szCs w:val="18"/>
          <w:color w:val="auto"/>
        </w:rPr>
        <w:t>. We believe that gaming’s increasing time share of global entertainment consumption will drive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in spending on both games and gaming products. Gaming continues to become increasingly social, as streaming viewership becomes more widely adopted along with increasing numbers of content creators. More members of the younger generation are gamers and spend more time on gaming related activities than older generations. We believe these trends will over time bring more gamers and creators to purchase dedicated hardware and help grow the market for peripheral products. The growth of these markets will not be linear, as these markets are impacted by macroeconomic and consumer confidence, amongst other conditions. Our Gaming Components and Systems segment makes components used for self-built PCs and full gaming systems. The self-built PC market is heavily influenced by the timing of release of new game titles and next-generation CPUs and GPUs, as discussed in the bullet below. In our Gamer and Creator Peripherals segment, we expect continued contribution from our Fanatec product portfolio, which expands our offerings in sim racing and complements our broader ecosystem of gaming and streaming products.</w:t>
      </w:r>
    </w:p>
    <w:p>
      <w:pPr>
        <w:spacing w:after="0" w:line="77" w:lineRule="exact"/>
        <w:rPr>
          <w:rFonts w:ascii="Times New Roman" w:cs="Times New Roman" w:eastAsia="Times New Roman" w:hAnsi="Times New Roman"/>
          <w:sz w:val="18"/>
          <w:szCs w:val="18"/>
          <w:color w:val="auto"/>
        </w:rPr>
      </w:pPr>
    </w:p>
    <w:p>
      <w:pPr>
        <w:ind w:left="1260" w:right="40" w:hanging="368"/>
        <w:spacing w:after="0" w:line="253"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Introduction of new high-performance computing hardware and sophisticated games</w:t>
      </w:r>
      <w:r>
        <w:rPr>
          <w:rFonts w:ascii="Times New Roman" w:cs="Times New Roman" w:eastAsia="Times New Roman" w:hAnsi="Times New Roman"/>
          <w:sz w:val="18"/>
          <w:szCs w:val="18"/>
          <w:color w:val="auto"/>
        </w:rPr>
        <w:t>. We believe that the introduction of more powerful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CPUs and GPUs that place increased demands on other system components, such as memory, power supply units or cooling, has a significant effect on increasing the demand for our products. In addition, we believe that the introduction and success of games with sophisticated graphics that place increasing demands on system processing speed and capacity and therefore require more powerful CPUs or GPUs, drives demand for our high-performance gaming components and systems, such as power supply units and cooling solutions, and our gaming PC memory. Demand for our product and our operating results may be affected by the timing and pace of new CPU and GPU launches, as well as the introduction and adoption of new game titles that require higher levels of system performance. For example, following the early 2025 launch of the latest generation of GPUs, we experienced a period of elevated demand as enthusiasts upgraded their systems to support new architectures. In 2026, we expect demand to reflect mid-cycle conditions, as the market anticipates potential hardware refreshes and major software titles scheduled for late 2026 and 2027. However, the timing and market acceptance of these new products, as well as the ongoing impact of component costs on hardware affordability, may continue to influence the rate of consumer upgrades.</w:t>
      </w:r>
    </w:p>
    <w:p>
      <w:pPr>
        <w:spacing w:after="0" w:line="81" w:lineRule="exact"/>
        <w:rPr>
          <w:rFonts w:ascii="Times New Roman" w:cs="Times New Roman" w:eastAsia="Times New Roman" w:hAnsi="Times New Roman"/>
          <w:sz w:val="18"/>
          <w:szCs w:val="18"/>
          <w:color w:val="auto"/>
        </w:rPr>
      </w:pPr>
    </w:p>
    <w:p>
      <w:pPr>
        <w:ind w:left="1260" w:right="60" w:hanging="368"/>
        <w:spacing w:after="0" w:line="267"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semiconductor shortage. </w:t>
      </w:r>
      <w:r>
        <w:rPr>
          <w:rFonts w:ascii="Times New Roman" w:cs="Times New Roman" w:eastAsia="Times New Roman" w:hAnsi="Times New Roman"/>
          <w:sz w:val="18"/>
          <w:szCs w:val="18"/>
          <w:color w:val="auto"/>
        </w:rPr>
        <w:t>We are observing significant constraints in the global supply of semiconductors driven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proliferation of AI infrastructure, which are materially impacting the broader hardware market. Heightened demand for these components has driven commodity prices to high levels, resulting in a substantial increase in the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Q1 2026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right="40"/>
        <w:spacing w:after="0" w:line="255" w:lineRule="auto"/>
        <w:rPr>
          <w:sz w:val="20"/>
          <w:szCs w:val="20"/>
          <w:color w:val="auto"/>
        </w:rPr>
      </w:pPr>
      <w:r>
        <w:rPr>
          <w:rFonts w:ascii="Times New Roman" w:cs="Times New Roman" w:eastAsia="Times New Roman" w:hAnsi="Times New Roman"/>
          <w:sz w:val="18"/>
          <w:szCs w:val="18"/>
          <w:color w:val="auto"/>
        </w:rPr>
        <w:t>market price of DRAM modules. We believe these elevated costs act as a barrier to entry for the budget-segment of the self-built PC market and may negatively impact our results in the near term. However, our core market position is centered on the enthusiast-level PC builder, a demographic that historically demonstrates less price sensitivity than the broader market. Additionally, we believe these supply dynamics are occurring alongside a shift in the workstation market driven by the expanded implementation of AI. As the costs of running critical business tasks on public cloud-based Large Language Models ("LLMs") increase, there is growing demand to operate local LLMs on private workstation hardware. We believe we are well positioned to address this emerging trend by delivering high-performance memory components and fully integrated, purpose-built systems necessary to support local AI processing workloads.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Customer Concentration and Shipping Costs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operate a global sales network that consists primarily of retailers (including e-retailers), as well as distributors, which we use to access certain retailers. Further, a limited number of retailers and distributors represent a significant portion of our net revenue, with e-retailer Amazon accounting for 25.0% and 28.3% of our net revenue for the three months ended March 31, 2026 and 2025, respectively, and sales to our ten largest customers accounting for approximately 46.8% and 50.4% of our net revenue for the three months ended March 31, 2026 and 2025, respectively. Our customers, including Amazon, typically do not enter into long-term agreements to purchase our products but instead enter into purchase orders with us. As a result of this concentration of revenue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e-retailers such as Amazon process our packages more efficiently. Further, given our global operations, a significant percentage of our expenses relate to shipping costs. Our ability to effectively optimize these shipping costs, for example utilizing expensive shipping options such as air freight for smaller packages and more urgent deliveries and more cost-efficient options, such as ground or ocean freight, for other shipments, has an impact on our expenses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New Product Introductions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Gamers demand new technology and product features, and we expect our ability to accurately anticipate and meet these demands will be one of the main drivers for any future sales growth and market share expansion. We believe our net revenue for 2025 and for the three months ended March 31, 2026 was favorably impacted by the release of 105 and 20 new products, respectively. While we intend to continue to develop and release new products, there can be no assurance that our new product introductions will have a favorable impact on our operating results or that customers will choose our new products over those of our competitors.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Seasonal Sales Trends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experienced and expect to continue to experience seasonal fluctuations in sales due to the buying patterns of our customers and spending patterns of gamers. Our net revenue has generally been lower in the first half of the year due to lower consumer demand following the fourth quarter holiday season and because of the decline in sales that typically occurs in anticipation of the introduction of new or enhanced CPUs, GPUs, and other computer hardware products. Further, our net revenue tends to be higher in the second half of the year due to seasonal sales such as “Black Friday” and “Cyber Monday” as well as “Singles Day” in China, as retailers tend to make purchases in advance of these sales. Our sales also tend to be higher in the fourth quarter due to the release of high-profile games, including the annual release of popular gaming franchises in connection with the holiday season. As a consequence of seasonality, our net revenue for the second calendar quarter is generally the lowest of the year. Historical seasonal patterns may not continue in the future and may be further impacted in the future by macroeconomic factors, including trade policy and tariffs, increasing supply constraints, semiconductor shortages, delay in the anticipated launch of new or enhanced GPUs and CPUs, and shifts in customer behavior.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Product Mix</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Gamer and Creator Peripherals segment has a higher gross margin than our Gaming Components and Systems segment. 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Fluctuations in Integrated Circuits Pricing</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Integrated circuits (“ICs”) account for most of the cost of producing our high-performance 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Corsair Gaming, Inc. | Q1 2026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tables set forth the components of our condensed consolidated statements of operations, in dollars (thousands) and as a percentage of total net revenue, for each of the periods presented.</w:t>
      </w:r>
    </w:p>
    <w:p>
      <w:pPr>
        <w:jc w:val="center"/>
        <w:ind w:left="6980"/>
        <w:spacing w:after="0" w:line="221" w:lineRule="auto"/>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-3175</wp:posOffset>
            </wp:positionV>
            <wp:extent cx="25285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2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354,512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369,750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238,483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116,029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102,362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84,988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86,992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Product development</w:t>
            </w: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102,233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104,625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(3,947)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1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(5,993)</w:t>
            </w:r>
          </w:p>
        </w:tc>
        <w:tc>
          <w:tcPr>
            <w:tcW w:w="0" w:type="dxa"/>
            <w:vAlign w:val="bottom"/>
          </w:tcPr>
          <w:p>
            <w:pPr>
              <w:spacing w:after="0"/>
              <w:rPr>
                <w:sz w:val="1"/>
                <w:szCs w:val="1"/>
                <w:color w:val="auto"/>
              </w:rPr>
            </w:pPr>
          </w:p>
        </w:tc>
      </w:tr>
      <w:tr>
        <w:trPr>
          <w:trHeight w:val="20"/>
        </w:trPr>
        <w:tc>
          <w:tcPr>
            <w:tcW w:w="69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(8,256)</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(2,061)</w:t>
            </w:r>
          </w:p>
        </w:tc>
        <w:tc>
          <w:tcPr>
            <w:tcW w:w="0" w:type="dxa"/>
            <w:vAlign w:val="bottom"/>
          </w:tcPr>
          <w:p>
            <w:pPr>
              <w:spacing w:after="0"/>
              <w:rPr>
                <w:sz w:val="1"/>
                <w:szCs w:val="1"/>
                <w:color w:val="auto"/>
              </w:rPr>
            </w:pPr>
          </w:p>
        </w:tc>
      </w:tr>
      <w:tr>
        <w:trPr>
          <w:trHeight w:val="20"/>
        </w:trPr>
        <w:tc>
          <w:tcPr>
            <w:tcW w:w="69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(10,317)</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1120" w:type="dxa"/>
            <w:vAlign w:val="bottom"/>
          </w:tcPr>
          <w:p>
            <w:pPr>
              <w:jc w:val="right"/>
              <w:ind w:right="96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(10,459)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6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development</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1120" w:type="dxa"/>
            <w:vAlign w:val="bottom"/>
          </w:tcPr>
          <w:p>
            <w:pPr>
              <w:spacing w:after="0"/>
              <w:rPr>
                <w:sz w:val="24"/>
                <w:szCs w:val="24"/>
                <w:color w:val="auto"/>
              </w:rPr>
            </w:pPr>
          </w:p>
        </w:tc>
        <w:tc>
          <w:tcPr>
            <w:tcW w:w="1580" w:type="dxa"/>
            <w:vAlign w:val="bottom"/>
            <w:gridSpan w:val="5"/>
            <w:vMerge w:val="restart"/>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80" w:type="dxa"/>
            <w:vAlign w:val="bottom"/>
            <w:gridSpan w:val="5"/>
            <w:vMerge w:val="continue"/>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80" w:type="dxa"/>
            <w:vAlign w:val="bottom"/>
            <w:gridSpan w:val="5"/>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2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354,512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369,750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-4765675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-4765675</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-4482465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-4482465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-4199890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-4199890</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-2553970</wp:posOffset>
            </wp:positionV>
            <wp:extent cx="1111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-2553970</wp:posOffset>
            </wp:positionV>
            <wp:extent cx="1454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-1713865</wp:posOffset>
            </wp:positionV>
            <wp:extent cx="1111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-1713865</wp:posOffset>
            </wp:positionV>
            <wp:extent cx="1454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-1430655</wp:posOffset>
            </wp:positionV>
            <wp:extent cx="111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-1430655</wp:posOffset>
            </wp:positionV>
            <wp:extent cx="1454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-1148080</wp:posOffset>
            </wp:positionV>
            <wp:extent cx="1111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-1148080</wp:posOffset>
            </wp:positionV>
            <wp:extent cx="1454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Q1 2026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revenue decreased by 4.1% for the three months ended March 31, 2026, as compared to the same period last year.</w:t>
      </w:r>
    </w:p>
    <w:p>
      <w:pPr>
        <w:spacing w:after="0" w:line="11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decrease in net revenue in the three-month period was due to a 10.3% decrease in sales for our Gaming Components and Systems segment, which was partially offset by a 10.1% increase in sales for our Gamer and Creator Peripherals segment.</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For further discussions specific to our Gaming Components and Systems and Gamer and Creator Peripherals segments, refer to “Segment Results” section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-3175</wp:posOffset>
            </wp:positionV>
            <wp:extent cx="25457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50"/>
        </w:trPr>
        <w:tc>
          <w:tcPr>
            <w:tcW w:w="7060" w:type="dxa"/>
            <w:vAlign w:val="bottom"/>
          </w:tcPr>
          <w:p>
            <w:pPr>
              <w:spacing w:after="0"/>
              <w:rPr>
                <w:sz w:val="21"/>
                <w:szCs w:val="21"/>
                <w:color w:val="auto"/>
              </w:rPr>
            </w:pPr>
          </w:p>
        </w:tc>
        <w:tc>
          <w:tcPr>
            <w:tcW w:w="332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shd w:val="clear" w:color="auto" w:fill="CFF0FC"/>
          </w:tcPr>
          <w:p>
            <w:pPr>
              <w:jc w:val="right"/>
              <w:ind w:right="98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116,029</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102,362</w:t>
            </w:r>
          </w:p>
        </w:tc>
        <w:tc>
          <w:tcPr>
            <w:tcW w:w="180" w:type="dxa"/>
            <w:vAlign w:val="bottom"/>
            <w:shd w:val="clear" w:color="auto" w:fill="CFF0FC"/>
          </w:tcPr>
          <w:p>
            <w:pPr>
              <w:spacing w:after="0"/>
              <w:rPr>
                <w:sz w:val="18"/>
                <w:szCs w:val="18"/>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1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r>
    </w:tbl>
    <w:p>
      <w:pPr>
        <w:spacing w:after="0" w:line="7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Gross margin increased by 500 basis point for the three months ended March 31, 2026, as compared to the same period last year. The increase was primarily attributable to a 580 basis point improvement from favorable product mix and higher pricing, partially offset by a 100 basis point impact from higher tariff costs.</w:t>
      </w:r>
    </w:p>
    <w:p>
      <w:pPr>
        <w:spacing w:after="0" w:line="68"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For further discussions specific to our Gaming Components and Systems and Gamer and Creator Peripherals segments, refer to the “Segment Results” section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 (SG&amp;A)</w:t>
      </w:r>
    </w:p>
    <w:p>
      <w:pPr>
        <w:spacing w:after="0" w:line="12"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-3175</wp:posOffset>
            </wp:positionV>
            <wp:extent cx="25285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50"/>
        </w:trPr>
        <w:tc>
          <w:tcPr>
            <w:tcW w:w="7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84,988</w:t>
            </w:r>
          </w:p>
        </w:tc>
        <w:tc>
          <w:tcPr>
            <w:tcW w:w="8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86,992</w:t>
            </w:r>
          </w:p>
        </w:tc>
        <w:tc>
          <w:tcPr>
            <w:tcW w:w="12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SG&amp;A expenses decreased by $2.0 million, or 2.3%, for the three months ended March 31, 2026, as compared to the same period last year primarily due to a $2.9 million decrease in distribution costs due to lower sales volume, a $2.4 million decrease in stock-based compensation expense and a $1.4 million decrease in bad debt expense. These decreases were partially offset by a $3.2 million increase in personnel-related costs, a $0.7 million increase in amortization expense resulting from shortened useful lives of certain intangible assets, and a $0.6 million increase in facilities and maintenance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-3175</wp:posOffset>
            </wp:positionV>
            <wp:extent cx="25285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50"/>
        </w:trPr>
        <w:tc>
          <w:tcPr>
            <w:tcW w:w="7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17,245</w:t>
            </w:r>
          </w:p>
        </w:tc>
        <w:tc>
          <w:tcPr>
            <w:tcW w:w="8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17,633</w:t>
            </w:r>
          </w:p>
        </w:tc>
        <w:tc>
          <w:tcPr>
            <w:tcW w:w="12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Product development expenses decreased by $0.4 million, or 2.2%, for the three months ended March 31, 2026, as compared to the same period last year primarily due to a $1.1 million decrease in consulting and contractor costs and a $0.8 million decrease in amortization expense as certain intangible assets became fully amortized. These decreases were partially offset by a $1.6 million increase in personnel-related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Interest Income and Other (Expense) Income, Net</w:t>
      </w:r>
    </w:p>
    <w:p>
      <w:pPr>
        <w:spacing w:after="0" w:line="12"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-3175</wp:posOffset>
            </wp:positionV>
            <wp:extent cx="25285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1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50"/>
        </w:trPr>
        <w:tc>
          <w:tcPr>
            <w:tcW w:w="7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6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shd w:val="clear" w:color="auto" w:fill="CFF0FC"/>
          </w:tcPr>
          <w:p>
            <w:pPr>
              <w:jc w:val="right"/>
              <w:ind w:right="104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(1,691)</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(2,676)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(3,947)</w:t>
            </w:r>
          </w:p>
        </w:tc>
      </w:tr>
    </w:tbl>
    <w:p>
      <w:pPr>
        <w:spacing w:after="0" w:line="9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expense decreased by $1.0 million, or 36.8% for the three months ended March 31, 2026, as compared to the same period last year primarily due to lower principal balance on our term loan combined with lower interest rates.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Interest income decreased by $0.2 million, or 33.2% for the three months ended March 31, 2026, as compared to the same period last year primarily due to lower cash balance in our interest-bearing account combined with lower interest rates.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Other (expense) income, net changed by $4.3 million, from a net expense of $3.9 million for the three months ended March 31, 2025 to a net income of $0.4 million for the three months ended March 31, 2026. Other (expense) income, net for the three months ended March 31, 2025 included a $2.6 million reversal of bargain purchase gain from the Fanatec Acquisition that was recognized in year ended December 31, 2024. The remainder of other (expense) income, net for the three months ended March 31, 2026 and 2025 primarily comprised of foreign exchange gains and losses on cash, accounts receivable, and intercompany balances denominated in currencies other than the functional currencies of our subsidiaries. Our foreign currency exposure is primarily driven by fluctuations in exchange rates for the Euro, the British Pound, and the New Taiwan Dollar.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-3175</wp:posOffset>
            </wp:positionV>
            <wp:extent cx="25463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11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0"/>
        </w:trPr>
        <w:tc>
          <w:tcPr>
            <w:tcW w:w="7000" w:type="dxa"/>
            <w:vAlign w:val="bottom"/>
          </w:tcPr>
          <w:p>
            <w:pPr>
              <w:spacing w:after="0"/>
              <w:rPr>
                <w:sz w:val="21"/>
                <w:szCs w:val="21"/>
                <w:color w:val="auto"/>
              </w:rPr>
            </w:pPr>
          </w:p>
        </w:tc>
        <w:tc>
          <w:tcPr>
            <w:tcW w:w="338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80" w:type="dxa"/>
            <w:vAlign w:val="bottom"/>
            <w:shd w:val="clear" w:color="auto" w:fill="CFF0FC"/>
          </w:tcPr>
          <w:p>
            <w:pPr>
              <w:jc w:val="right"/>
              <w:ind w:right="100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(8,256)</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(2,061)</w:t>
            </w: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r>
    </w:tbl>
    <w:p>
      <w:pPr>
        <w:spacing w:after="0" w:line="9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U.S. income, the utilization of net operating loss and tax credit carry forwards, changes in geographic mix of income and expense, changes in management’s assessment of matters such as the ability to realize deferred tax assets, and changes in tax laws.</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effective tax rates were a tax benefit of 1.2% and a tax expense of (25.0)% for the three months ended March 31, 2026 and 2025, respectively. The change in the effective tax rate was primarily driven by a net discrete tax benefit recognized in the first quarter of 2026 related to an internal restructuring and transfer of intellectual property, partially offset by tax expense on taxable income and changes in the mix of income across jurisdictions. We continue to maintain a full valuation allowance against our U.S. deferred tax assets, and as a result, our domestic tax provision is primarily limited to state taxes and discrete adjustments.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Net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net revenue by segment expressed both in dollars (thousands) and as a percentage of net revenue: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5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5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Gamer and Creator Peripherals Segment</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123,310</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34.8%</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111,973</w:t>
            </w:r>
          </w:p>
        </w:tc>
        <w:tc>
          <w:tcPr>
            <w:tcW w:w="6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30.2%</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Gaming Components and Systems Segment</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Memory Products</w:t>
            </w: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149,561</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141,090</w:t>
            </w:r>
          </w:p>
        </w:tc>
        <w:tc>
          <w:tcPr>
            <w:tcW w:w="6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40" w:type="dxa"/>
            <w:vAlign w:val="bottom"/>
            <w:shd w:val="clear" w:color="auto" w:fill="CFF0FC"/>
          </w:tcPr>
          <w:p>
            <w:pPr>
              <w:spacing w:after="0"/>
              <w:rPr>
                <w:sz w:val="17"/>
                <w:szCs w:val="17"/>
                <w:color w:val="auto"/>
              </w:rPr>
            </w:pPr>
          </w:p>
        </w:tc>
      </w:tr>
      <w:tr>
        <w:trPr>
          <w:trHeight w:val="203"/>
        </w:trPr>
        <w:tc>
          <w:tcPr>
            <w:tcW w:w="5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Component Products</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81,641</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116,687</w:t>
            </w:r>
          </w:p>
        </w:tc>
        <w:tc>
          <w:tcPr>
            <w:tcW w:w="6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40" w:type="dxa"/>
            <w:vAlign w:val="bottom"/>
          </w:tcPr>
          <w:p>
            <w:pPr>
              <w:spacing w:after="0"/>
              <w:rPr>
                <w:sz w:val="17"/>
                <w:szCs w:val="17"/>
                <w:color w:val="auto"/>
              </w:rPr>
            </w:pPr>
          </w:p>
        </w:tc>
      </w:tr>
      <w:tr>
        <w:trPr>
          <w:trHeight w:val="196"/>
        </w:trPr>
        <w:tc>
          <w:tcPr>
            <w:tcW w:w="55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231,202</w:t>
            </w:r>
          </w:p>
        </w:tc>
        <w:tc>
          <w:tcPr>
            <w:tcW w:w="3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3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257,777</w:t>
            </w:r>
          </w:p>
        </w:tc>
        <w:tc>
          <w:tcPr>
            <w:tcW w:w="64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196"/>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Net Revenue</w:t>
            </w: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354,512</w:t>
            </w:r>
          </w:p>
        </w:tc>
        <w:tc>
          <w:tcPr>
            <w:tcW w:w="3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100.0%</w:t>
            </w: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369,750</w:t>
            </w:r>
          </w:p>
        </w:tc>
        <w:tc>
          <w:tcPr>
            <w:tcW w:w="6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5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-162560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-162560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9"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Net revenue of the Gamer and Creator Peripherals segment increased by 10.1% for the three months ended March 31, 2026, as compared to the same period last year. The increase was primarily driven by higher sales within our peripherals, streaming and sim racing categories as a result of new product introductions and market share gains.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revenue of the Gaming Components and Systems segment decreased by 10.3% for the three months ended March 31, 2026, as compared to the same period last year. The decrease was primarily driven by softer demand in the self-built PC market, reflecting the lack of a significant GPU-driven upgrade cycle and elevated memory pricing, partially offset by continued strength in memory and systems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Gross Profit and Gross Margin</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gross profit expressed in dollars (thousands) and gross margin (which we define as gross profit as a percentage of net revenue) by segment:</w:t>
      </w: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5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5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Gamer and Creator Peripherals Segment</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50,290</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40.8%</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46,414</w:t>
            </w:r>
          </w:p>
        </w:tc>
        <w:tc>
          <w:tcPr>
            <w:tcW w:w="6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41.5%</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Gaming Components and Systems Segment</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Memory Products</w:t>
            </w: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46,970</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31.4</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23,843</w:t>
            </w:r>
          </w:p>
        </w:tc>
        <w:tc>
          <w:tcPr>
            <w:tcW w:w="680" w:type="dxa"/>
            <w:vAlign w:val="bottom"/>
            <w:shd w:val="clear" w:color="auto" w:fill="CFF0FC"/>
          </w:tcPr>
          <w:p>
            <w:pPr>
              <w:spacing w:after="0"/>
              <w:rPr>
                <w:sz w:val="17"/>
                <w:szCs w:val="17"/>
                <w:color w:val="auto"/>
              </w:rPr>
            </w:pPr>
          </w:p>
        </w:tc>
        <w:tc>
          <w:tcPr>
            <w:tcW w:w="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w w:val="99"/>
              </w:rPr>
              <w:t>16.9</w:t>
            </w:r>
          </w:p>
        </w:tc>
        <w:tc>
          <w:tcPr>
            <w:tcW w:w="140" w:type="dxa"/>
            <w:vAlign w:val="bottom"/>
            <w:shd w:val="clear" w:color="auto" w:fill="CFF0FC"/>
          </w:tcPr>
          <w:p>
            <w:pPr>
              <w:spacing w:after="0"/>
              <w:rPr>
                <w:sz w:val="17"/>
                <w:szCs w:val="17"/>
                <w:color w:val="auto"/>
              </w:rPr>
            </w:pPr>
          </w:p>
        </w:tc>
      </w:tr>
      <w:tr>
        <w:trPr>
          <w:trHeight w:val="203"/>
        </w:trPr>
        <w:tc>
          <w:tcPr>
            <w:tcW w:w="5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Component Products</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18,769</w:t>
            </w:r>
          </w:p>
        </w:tc>
        <w:tc>
          <w:tcPr>
            <w:tcW w:w="340" w:type="dxa"/>
            <w:vAlign w:val="bottom"/>
          </w:tcPr>
          <w:p>
            <w:pPr>
              <w:spacing w:after="0"/>
              <w:rPr>
                <w:sz w:val="17"/>
                <w:szCs w:val="17"/>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23.0</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32,105</w:t>
            </w:r>
          </w:p>
        </w:tc>
        <w:tc>
          <w:tcPr>
            <w:tcW w:w="680" w:type="dxa"/>
            <w:vAlign w:val="bottom"/>
          </w:tcPr>
          <w:p>
            <w:pPr>
              <w:spacing w:after="0"/>
              <w:rPr>
                <w:sz w:val="17"/>
                <w:szCs w:val="17"/>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9"/>
              </w:rPr>
              <w:t>27.5</w:t>
            </w:r>
          </w:p>
        </w:tc>
        <w:tc>
          <w:tcPr>
            <w:tcW w:w="140" w:type="dxa"/>
            <w:vAlign w:val="bottom"/>
          </w:tcPr>
          <w:p>
            <w:pPr>
              <w:spacing w:after="0"/>
              <w:rPr>
                <w:sz w:val="17"/>
                <w:szCs w:val="17"/>
                <w:color w:val="auto"/>
              </w:rPr>
            </w:pPr>
          </w:p>
        </w:tc>
      </w:tr>
      <w:tr>
        <w:trPr>
          <w:trHeight w:val="196"/>
        </w:trPr>
        <w:tc>
          <w:tcPr>
            <w:tcW w:w="55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65,739</w:t>
            </w:r>
          </w:p>
        </w:tc>
        <w:tc>
          <w:tcPr>
            <w:tcW w:w="3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28.4</w:t>
            </w:r>
          </w:p>
        </w:tc>
        <w:tc>
          <w:tcPr>
            <w:tcW w:w="3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55,948</w:t>
            </w:r>
          </w:p>
        </w:tc>
        <w:tc>
          <w:tcPr>
            <w:tcW w:w="6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w w:val="99"/>
              </w:rPr>
              <w:t>21.7</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196"/>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Gross Profit</w:t>
            </w: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116,029</w:t>
            </w:r>
          </w:p>
        </w:tc>
        <w:tc>
          <w:tcPr>
            <w:tcW w:w="340" w:type="dxa"/>
            <w:vAlign w:val="bottom"/>
          </w:tcPr>
          <w:p>
            <w:pPr>
              <w:spacing w:after="0"/>
              <w:rPr>
                <w:sz w:val="17"/>
                <w:szCs w:val="17"/>
                <w:color w:val="auto"/>
              </w:rPr>
            </w:pPr>
          </w:p>
        </w:tc>
        <w:tc>
          <w:tcPr>
            <w:tcW w:w="13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32.7%</w:t>
            </w: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102,362</w:t>
            </w:r>
          </w:p>
        </w:tc>
        <w:tc>
          <w:tcPr>
            <w:tcW w:w="680" w:type="dxa"/>
            <w:vAlign w:val="bottom"/>
          </w:tcPr>
          <w:p>
            <w:pPr>
              <w:spacing w:after="0"/>
              <w:rPr>
                <w:sz w:val="17"/>
                <w:szCs w:val="17"/>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27.7%</w:t>
            </w:r>
          </w:p>
        </w:tc>
      </w:tr>
      <w:tr>
        <w:trPr>
          <w:trHeight w:val="20"/>
        </w:trPr>
        <w:tc>
          <w:tcPr>
            <w:tcW w:w="5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-161925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-161925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gross margin of the Gamer and Creator Peripherals segment decreased by 70 basis point for the three months ended March 31, 2026 as compared to the same period last year. The decrease was primarily driven by a 170 basis point impact from tariffs, a 160 basis point impact from higher promotional costs, and a 70 basis point impact from higher air freight costs. These decreases were partially offset by a 320 basis point improvement from favorable product mix.</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gross margin of the Gaming Components and Systems segment increased by 670 basis point for the three months ended March 31, 2026 as compared to the same period last year. The increase was primarily driven by a 520 basis point improvement from memory price increases and favorable product mix, a 140 basis point benefit from lower promotional activity due to strong demand for memory products, a 90 basis point benefit from lower rework and warranty costs, and a 90 basis point benefit from lower air freight costs due to improved supply availability. These increases were partially offset by an 80 basis point impact from lower factory utilization and a 70 basis point impact from tariffs.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have financed our operations and acquisitions through cash from operations, and when necessary, through debt facilities and issuance of equity securities. As of March 31, 2026, our principal sources of liquidity were cash and restricted cash, in aggregate of $119.7 million, and our borrowing capacity under the June 2030 Revolving Facility (as defined under “Capital Resources” below) of $99.6 million.</w:t>
      </w:r>
    </w:p>
    <w:p>
      <w:pPr>
        <w:spacing w:after="0" w:line="68"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principal uses of cash generally include purchases of inventory, payroll and other operating expenses related to the development and marketing of our products, capital expenditures, repayments of debt and related interest, income tax payments, share repurchases, future investments in business and technology, and selective mergers and acquisitions.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the anticipated cash flows from operations based on our current business outlook, combined with our current levels of cash balances at March 31, 2026, supplemented with the borrowing capacity under our June 2030 Revolving Facility, if and as needed, will be sufficient to fund our principal uses of cash for at least the next twelve months. In the longer term, liquidity will depend to a great extent on our future revenues and our ability to 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require operating and financial covenants that would restrict our operations. There can be no assurance that any such equity or debt financing will be available on favorable terms, or at all.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000" w:type="dxa"/>
            <w:vAlign w:val="bottom"/>
            <w:tcBorders>
              <w:bottom w:val="single" w:sz="8" w:color="auto"/>
            </w:tcBorders>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34"/>
        </w:trPr>
        <w:tc>
          <w:tcPr>
            <w:tcW w:w="4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8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29,728</w:t>
            </w:r>
          </w:p>
        </w:tc>
        <w:tc>
          <w:tcPr>
            <w:tcW w:w="1000" w:type="dxa"/>
            <w:vAlign w:val="bottom"/>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18,750</w:t>
            </w:r>
          </w:p>
        </w:tc>
      </w:tr>
      <w:tr>
        <w:trPr>
          <w:trHeight w:val="216"/>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(3,669)</w:t>
            </w: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(3,072)</w:t>
            </w:r>
          </w:p>
        </w:tc>
      </w:tr>
      <w:tr>
        <w:trPr>
          <w:trHeight w:val="23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(5,324)</w:t>
            </w:r>
          </w:p>
        </w:tc>
        <w:tc>
          <w:tcPr>
            <w:tcW w:w="10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(22,254)</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2026 was $29.7 million and consisted of net income of $13.1 million, and non-cash adjustments of $18.0 million, partially offset by a net cash outflow of $1.3 million from changes in net operating assets and liabilities. Non-cash adjustments primarily consisted of amortization of intangibles, depreciation, and stock-based compensation expense. The net cash outflow from changes in operating assets and liabilities was primarily related to a decrease in accounts payable due to lower inventory purchases and vendor mix and a decrease in other liabilities and accrued expenses due to a reduction in the accruals needed for customer incentives programs; a reduction in sales returns reserves in line with lower revenue; as well as the payment of the 2025 employee bonus during the quarter. These outflows were partially offset by a decrease in accounts receivable from lower revenue and favorable customer mix, and a decrease in inventory compared to the prior quarter.</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2025 was $18.8 million and consisted of non-cash adjustments of $27.1 million, a net cash inflow of $2.0 million from changes in our net operating assets and liabilities, partially offset by a net loss of $10.3 million. The non-cash adjustments primarily consisted of amortization of intangibles, depreciation, stock-based compensation expense, and the reversal of the Fanatec Acquisition bargain purchase gain previously recognized in the year ended December 31, 2024. The net cash inflow from changes in our net operating assets and liabilities was primarily related to an increase in accounts payable due to timing of payments and higher inventory purchases, partially offset by cash outflows from an increase in inventories as we stocked up in anticipation of tariffs, as well as a decrease in other liabilities and accrued expenses primarily due to a reduction in the accruals needed for customer incentives programs and sales returns with lower 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$3.7 million for the three months ended March 31, 2026, compared to $3.1 million for the same period in 2025, primarily reflecting capital expenditures.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$5.3 million for the three months ended March 31, 2026 and primarily consisted of $5.0 million repurchases of common stock, $1.6 million repayment of debt, $0.6 million payment of taxes related to net share settlement of equity awards, and $0.2 million payment of dividends to noncontrolling interest, partially offset by $2.1 million proceeds received from the issuance of shares through the employee equity incentive plans.</w:t>
      </w:r>
    </w:p>
    <w:p>
      <w:pPr>
        <w:spacing w:after="0" w:line="7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$22.3 million for the three months ended March 31, 2025 and consisted of $25.0 million repayment of debt, $0.4 million payment of taxes related to net share settlement of equity awards, and $0.3 million payment of dividends to noncontrolling interest, partially offset by $3.4 million proceeds received from the issuance of shares through the employee equity incentive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June 30, 2025, we entered into an Amended and Restated Credit Agreement with BofA to refinance our prior first lien credit and guaranty agreement with BofA, entered into on September 3, 2021. The Amended and Restated Credit Agreement provides for total commitments of $225.0 million, consisting of a $100.0 million five-year revolving credit facility maturing on June 30, 2030 (the “June 2030 Revolving Facility”) and a $125.0 million five-year term loan facility maturing on June 30, 2030 (the “June 2030 Term Loan”). The Amended and Restated Credit Agreement also permits, subject to conditions stated therein, additional incremental facilities in a maximum aggregate principal amount not to exceed $125.0 million.</w:t>
      </w:r>
    </w:p>
    <w:p>
      <w:pPr>
        <w:spacing w:after="0" w:line="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Amended and Restated Credit Agreement has a variable rate structure. According to the provisions of the Amended and Restated Credit Agreement, the June 2030 Term Loan and June 2030 Revolving Facility each bears interest at our election, at either (a) term Secured Overnight Financing Rate ("SOFR") plus a percentage spread (ranging from 1.50% to 2.50%) based on our total net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leverage ratio or (b) the base rate (as described in the Restated Credit Agreement as the greatest of (i) Bank of America’s prime rate, (ii) the federal funds rate plus 0.50% and (iii) one-month term SOFR plus 1.0%) plus a percentage spread (ranging from 0.50% to 1.50%) based on the our total net leverage ratio.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January 30, 2026, the Board of Directors authorized us to repurchase up to $50 million of our outstanding shares of common stock. This represents our first repurchase authorization. The repurchase program was effective immediately, does not have an expiration date and is subject to market conditions, applicable laws and regulatory guidelines. The timing and amount of any repurchases will depend on a variety of factors, and the program may be suspended or discontinued at any time and without prior notice.</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repurchased approximately 0.9 million shares of our common stock for an aggregate cost of $5.0 million. As of March 31, 2026, approximately $45.0 million remained available under this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Cash and Other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contractual cash and other obligations as of March 31, 2026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376"/>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ind w:right="336"/>
              <w:spacing w:after="0" w:line="118" w:lineRule="exact"/>
              <w:rPr>
                <w:sz w:val="20"/>
                <w:szCs w:val="20"/>
                <w:color w:val="auto"/>
              </w:rPr>
            </w:pPr>
            <w:r>
              <w:rPr>
                <w:rFonts w:ascii="Times New Roman" w:cs="Times New Roman" w:eastAsia="Times New Roman" w:hAnsi="Times New Roman"/>
                <w:sz w:val="13"/>
                <w:szCs w:val="13"/>
                <w:b w:val="1"/>
                <w:bCs w:val="1"/>
                <w:color w:val="auto"/>
              </w:rPr>
              <w:t>3-5</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Debt principal and interest payments </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760" w:type="dxa"/>
            <w:vAlign w:val="bottom"/>
            <w:vMerge w:val="continue"/>
          </w:tcPr>
          <w:p>
            <w:pPr>
              <w:spacing w:after="0"/>
              <w:rPr>
                <w:sz w:val="17"/>
                <w:szCs w:val="17"/>
                <w:color w:val="auto"/>
              </w:rPr>
            </w:pPr>
          </w:p>
        </w:tc>
        <w:tc>
          <w:tcPr>
            <w:tcW w:w="2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144,000</w:t>
            </w:r>
          </w:p>
        </w:tc>
        <w:tc>
          <w:tcPr>
            <w:tcW w:w="440" w:type="dxa"/>
            <w:vAlign w:val="bottom"/>
            <w:gridSpan w:val="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12,456</w:t>
            </w:r>
          </w:p>
        </w:tc>
        <w:tc>
          <w:tcPr>
            <w:tcW w:w="460" w:type="dxa"/>
            <w:vAlign w:val="bottom"/>
            <w:gridSpan w:val="2"/>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23,603</w:t>
            </w:r>
          </w:p>
        </w:tc>
        <w:tc>
          <w:tcPr>
            <w:tcW w:w="220" w:type="dxa"/>
            <w:vAlign w:val="bottom"/>
          </w:tcPr>
          <w:p>
            <w:pPr>
              <w:spacing w:after="0"/>
              <w:rPr>
                <w:sz w:val="17"/>
                <w:szCs w:val="17"/>
                <w:color w:val="auto"/>
              </w:rPr>
            </w:pPr>
          </w:p>
        </w:tc>
        <w:tc>
          <w:tcPr>
            <w:tcW w:w="2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107,941</w:t>
            </w:r>
          </w:p>
        </w:tc>
        <w:tc>
          <w:tcPr>
            <w:tcW w:w="38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Inventory-related purchase obligations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4"/>
                <w:szCs w:val="24"/>
                <w:color w:val="auto"/>
                <w:vertAlign w:val="superscript"/>
              </w:rPr>
              <w:t>(3)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7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Other purchase obligations </w:t>
            </w:r>
            <w:r>
              <w:rPr>
                <w:rFonts w:ascii="Times New Roman" w:cs="Times New Roman" w:eastAsia="Times New Roman" w:hAnsi="Times New Roman"/>
                <w:sz w:val="24"/>
                <w:szCs w:val="24"/>
                <w:color w:val="auto"/>
                <w:vertAlign w:val="superscript"/>
              </w:rPr>
              <w:t>(4)</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320,442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120,338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123,320</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-25400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-25400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-25400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4" w:lineRule="exact"/>
        <w:rPr>
          <w:sz w:val="20"/>
          <w:szCs w:val="20"/>
          <w:color w:val="auto"/>
        </w:rPr>
      </w:pPr>
    </w:p>
    <w:p>
      <w:pPr>
        <w:ind w:left="1020" w:right="560" w:hanging="503"/>
        <w:spacing w:after="0" w:line="267" w:lineRule="auto"/>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principal cash payments as of March 31, 2026 of our June 2030 Term Loan based on the repayment schedule according to the Amended and Restated Credit Agreement and the expected interest payments associated with the June 2030 Term Loan. See Note 7, “Debt” to our condensed consolidated financial statements for more information.</w:t>
      </w:r>
    </w:p>
    <w:p>
      <w:pPr>
        <w:spacing w:after="0" w:line="1"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an estimate of purchase obligations related to inventory.</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contractual obligations from our operating leases for offices and warehouse spaces.</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non-cancelable obligations related to capital expenditures, software licenses, marketing and other activities.</w:t>
      </w:r>
    </w:p>
    <w:p>
      <w:pPr>
        <w:spacing w:after="0" w:line="11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we had $2.7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 Our condensed consolidated financial statements are prepared in accordance with U.S. generally accepted accounting principles (“GAAP”), which requires us to make estimates, judgments and assumptions that affect the reported amounts of assets and liabilities and the disclosure of contingent liabilities at the date of the condensed consolidated financial statements, as well as the reported amounts of revenue and expenses during the reporting periods. Our estimates are based on our historical experience and on various other factors that we believe to be applicable and evaluate them on an ongoing basis to ensure they remain reasonable under current conditions. Actual results may differ significantly from those estimates, which could have a material impact on our business, results of operations, and financial condition.</w:t>
      </w:r>
    </w:p>
    <w:p>
      <w:pPr>
        <w:spacing w:after="0" w:line="8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three months ended March 31, 2026 as compared to the critical accounting policies and estimates described in our Management’s Discussion and Analysis of Financial Condition and Results of Operations included in our Annual Report on Form 10-K for the year ended December 31, 2025 filed with the SEC on February 25,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Refer to Note 2 to the condensed consolidated financial statements included in this Quarterly Report on Form 10-Q for recent accounting pronouncements adopted and to be adopted.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we had cash and restricted cash of $119.7 million, which consisted primarily of bank deposits. Our cash is held for working capital purposes.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under the Amended and Restated Credit Agreement, we had $120.3 million (face value) outstanding on the June 2030 Term Loan which bears interest at variable market rates, primarily SOFR. A significant change in these market rates may adversely affect our operating results. As of March 31, 2026, a hypothetical 100 basis point change in interest rates would result in a change to the annual interest expense by approximately $1.2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Approximately 21.0% of our net revenue for the three months ended March 31, 2026 was denominated in foreign currencies, primarily Euro, and to a lesser extent, the British Pound. Any unfavorable movement in the exchange rate between U.S. dollars and the currencies in which we conduct sales in foreign countries could have an adverse impact on our net revenue and gross margins as we may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Taiwan, and China. Our operating results and cash flows are, therefore, subject to fluctuations due to changes in foreign currency exchange rates.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enter into forward currency contracts to reduce the short-term effects of currency fluctuations on Euro and British Pound denominated cash, accounts receivable, and intercompany receivable and payable balances. These forward contracts generally mature within two to four months, and we do not enter into foreign currency forward contracts for trading purposes. The outstanding notional principal amount was $21.1 million and $28.5 million as of March 31, 2026 and December 31, 2025, respectively. The gains or losses on these contracts are recognized in earnings based on the changes in fair value of the foreign currency forward contracts.</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net impact of changes in foreign currency rates, including the net gains or (losses) on the forward currency contracts, recognized in other expense, net was $0.4 million and $(1.5) million for the three months ended March 31, 2026 and 2025, respectively. A hypothetical ten percent change in exchange rates between foreign currencies and the U.S. dollar would increase or decrease our gains or losses on foreign currency exchange of approximately $0.7 million in our condensed consolidated financial statements for the three months ended March 31, 2026.</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Corsair Gaming, Inc. | Q1 2026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of the end of the period covered by this Quarterly Report on Form 10-Q.</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March 31, 2026,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2026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Q1 2026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have disclosed under the heading “Risk Factors” in Part I, Item 1A of our Annual Report on Form 10-K for the year ended December 31, 2025 the risk factors that materially affect our business, financial condition or results of operations. There have been no material changes from the risk factors previously disclosed. You should carefully consider the risk factors set forth in our Annual Report on Form 10-K for the year ended December 31, 2025 and the other information set forth elsewhere in this Quarterly Report on Form 10-Q. The risks that we describe in our public filings are not the only risks we may face. Additional risks and uncertainties not currently known to us or that we currently deem to be immaterial also may materially adversely effect on our business, financial condition and/or future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 repurchase activity during the three months ended March 31, 2026 was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0" w:type="dxa"/>
            <w:vAlign w:val="bottom"/>
          </w:tcPr>
          <w:p>
            <w:pPr>
              <w:spacing w:after="0"/>
              <w:rPr>
                <w:sz w:val="13"/>
                <w:szCs w:val="13"/>
                <w:color w:val="auto"/>
              </w:rPr>
            </w:pPr>
          </w:p>
        </w:tc>
        <w:tc>
          <w:tcPr>
            <w:tcW w:w="252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Total Number of Shares Purchased as</w:t>
            </w:r>
          </w:p>
        </w:tc>
        <w:tc>
          <w:tcPr>
            <w:tcW w:w="220" w:type="dxa"/>
            <w:vAlign w:val="bottom"/>
          </w:tcPr>
          <w:p>
            <w:pPr>
              <w:spacing w:after="0"/>
              <w:rPr>
                <w:sz w:val="13"/>
                <w:szCs w:val="13"/>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21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820" w:type="dxa"/>
            <w:vAlign w:val="bottom"/>
          </w:tcPr>
          <w:p>
            <w:pPr>
              <w:jc w:val="right"/>
              <w:ind w:right="517"/>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jc w:val="right"/>
              <w:ind w:right="637"/>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Share </w:t>
            </w:r>
            <w:r>
              <w:rPr>
                <w:rFonts w:ascii="Times New Roman" w:cs="Times New Roman" w:eastAsia="Times New Roman" w:hAnsi="Times New Roman"/>
                <w:sz w:val="8"/>
                <w:szCs w:val="8"/>
                <w:b w:val="1"/>
                <w:bCs w:val="1"/>
                <w:color w:val="auto"/>
              </w:rPr>
              <w:t>(2)</w:t>
            </w:r>
          </w:p>
        </w:tc>
        <w:tc>
          <w:tcPr>
            <w:tcW w:w="220" w:type="dxa"/>
            <w:vAlign w:val="bottom"/>
          </w:tcPr>
          <w:p>
            <w:pPr>
              <w:spacing w:after="0"/>
              <w:rPr>
                <w:sz w:val="12"/>
                <w:szCs w:val="12"/>
                <w:color w:val="auto"/>
              </w:rPr>
            </w:pPr>
          </w:p>
        </w:tc>
        <w:tc>
          <w:tcPr>
            <w:tcW w:w="252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 Announced Programs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3"/>
        </w:trPr>
        <w:tc>
          <w:tcPr>
            <w:tcW w:w="2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xml:space="preserve">Program </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1 - 31, 2026</w:t>
            </w: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February 1 - 28, 2026</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1 - 31, 2026</w:t>
            </w:r>
          </w:p>
        </w:tc>
        <w:tc>
          <w:tcPr>
            <w:tcW w:w="12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880,037</w:t>
            </w:r>
          </w:p>
        </w:tc>
        <w:tc>
          <w:tcPr>
            <w:tcW w:w="4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tcBorders>
              <w:bottom w:val="single" w:sz="8" w:color="CFF0FC"/>
            </w:tcBorders>
            <w:shd w:val="clear" w:color="auto" w:fill="CFF0FC"/>
          </w:tcPr>
          <w:p>
            <w:pPr>
              <w:spacing w:after="0"/>
              <w:rPr>
                <w:sz w:val="18"/>
                <w:szCs w:val="18"/>
                <w:color w:val="auto"/>
              </w:rPr>
            </w:pPr>
          </w:p>
        </w:tc>
        <w:tc>
          <w:tcPr>
            <w:tcW w:w="2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880,037</w:t>
            </w:r>
          </w:p>
        </w:tc>
        <w:tc>
          <w:tcPr>
            <w:tcW w:w="40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880,037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880,037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-170815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left="1020" w:right="140" w:hanging="503"/>
        <w:spacing w:after="0" w:line="298" w:lineRule="auto"/>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30, 2026, the Board of Directors authorized us to repurchase up to $50 million of our outstanding shares of common stock. The program has no expiration date.</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paid per share includes costs associated with the repurchases but excludes excise tax.</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60" w:hanging="243"/>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jc w:val="both"/>
        <w:ind w:right="460" w:firstLine="517"/>
        <w:spacing w:after="0" w:line="266" w:lineRule="auto"/>
        <w:tabs>
          <w:tab w:leader="none" w:pos="7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directors or officers (as defined in Rule 16a-1 under the Exchange Act) adopted, modified or terminated a Rule 10b5-1 trading arrangement or non-Rule 10b5-1 trading arrangement during the three months ended March 31, 2026, as such terms are defined under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2026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vMerge w:val="restart"/>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100" w:type="dxa"/>
            <w:vAlign w:val="bottom"/>
            <w:tcBorders>
              <w:bottom w:val="single" w:sz="8" w:color="auto"/>
            </w:tcBorders>
          </w:tcPr>
          <w:p>
            <w:pPr>
              <w:spacing w:after="0"/>
              <w:rPr>
                <w:sz w:val="15"/>
                <w:szCs w:val="15"/>
                <w:color w:val="auto"/>
              </w:rPr>
            </w:pPr>
          </w:p>
        </w:tc>
        <w:tc>
          <w:tcPr>
            <w:tcW w:w="780" w:type="dxa"/>
            <w:vAlign w:val="bottom"/>
            <w:vMerge w:val="restart"/>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20" w:type="dxa"/>
            <w:vAlign w:val="bottom"/>
            <w:gridSpan w:val="1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vMerge w:val="restart"/>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20" w:type="dxa"/>
            <w:vAlign w:val="bottom"/>
            <w:gridSpan w:val="15"/>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80"/>
        </w:trPr>
        <w:tc>
          <w:tcPr>
            <w:tcW w:w="8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3.1</w:t>
            </w:r>
          </w:p>
        </w:tc>
        <w:tc>
          <w:tcPr>
            <w:tcW w:w="43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Second Amended and Restated Certificate of Incorporation.</w:t>
              </w:r>
            </w:hyperlink>
          </w:p>
        </w:tc>
        <w:tc>
          <w:tcPr>
            <w:tcW w:w="1640" w:type="dxa"/>
            <w:vAlign w:val="bottom"/>
            <w:gridSpan w:val="12"/>
          </w:tcPr>
          <w:p>
            <w:pPr>
              <w:spacing w:after="0"/>
              <w:rPr>
                <w:sz w:val="24"/>
                <w:szCs w:val="24"/>
                <w:color w:val="auto"/>
              </w:rPr>
            </w:pPr>
          </w:p>
        </w:tc>
        <w:tc>
          <w:tcPr>
            <w:tcW w:w="96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3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7"/>
              </w:rPr>
              <w:t>3.1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3.2</w:t>
            </w:r>
          </w:p>
        </w:tc>
        <w:tc>
          <w:tcPr>
            <w:tcW w:w="23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Amended and Restated Bylaws.</w:t>
              </w:r>
            </w:hyperlink>
          </w:p>
        </w:tc>
        <w:tc>
          <w:tcPr>
            <w:tcW w:w="20" w:type="dxa"/>
            <w:vAlign w:val="bottom"/>
            <w:tcBorders>
              <w:bottom w:val="single" w:sz="8" w:color="0000EE"/>
            </w:tcBorders>
          </w:tcPr>
          <w:p>
            <w:pPr>
              <w:spacing w:after="0"/>
              <w:rPr>
                <w:sz w:val="24"/>
                <w:szCs w:val="24"/>
                <w:color w:val="auto"/>
              </w:rPr>
            </w:pPr>
          </w:p>
        </w:tc>
        <w:tc>
          <w:tcPr>
            <w:tcW w:w="3640" w:type="dxa"/>
            <w:vAlign w:val="bottom"/>
            <w:gridSpan w:val="17"/>
          </w:tcPr>
          <w:p>
            <w:pPr>
              <w:spacing w:after="0"/>
              <w:rPr>
                <w:sz w:val="24"/>
                <w:szCs w:val="24"/>
                <w:color w:val="auto"/>
              </w:rPr>
            </w:pPr>
          </w:p>
        </w:tc>
        <w:tc>
          <w:tcPr>
            <w:tcW w:w="96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3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7"/>
              </w:rPr>
              <w:t>3.2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4.1</w:t>
            </w:r>
          </w:p>
        </w:tc>
        <w:tc>
          <w:tcPr>
            <w:tcW w:w="34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Form of common stock certificate of Registrant.</w:t>
              </w:r>
            </w:hyperlink>
          </w:p>
        </w:tc>
        <w:tc>
          <w:tcPr>
            <w:tcW w:w="20" w:type="dxa"/>
            <w:vAlign w:val="bottom"/>
            <w:tcBorders>
              <w:bottom w:val="single" w:sz="8" w:color="0000EE"/>
            </w:tcBorders>
          </w:tcPr>
          <w:p>
            <w:pPr>
              <w:spacing w:after="0"/>
              <w:rPr>
                <w:sz w:val="24"/>
                <w:szCs w:val="24"/>
                <w:color w:val="auto"/>
              </w:rPr>
            </w:pPr>
          </w:p>
        </w:tc>
        <w:tc>
          <w:tcPr>
            <w:tcW w:w="2460" w:type="dxa"/>
            <w:vAlign w:val="bottom"/>
            <w:gridSpan w:val="13"/>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7"/>
              </w:rPr>
              <w:t>4.2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09/18/2020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4.2</w:t>
            </w:r>
          </w:p>
        </w:tc>
        <w:tc>
          <w:tcPr>
            <w:tcW w:w="56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Investor Rights Agreement, by and between Corsair Gaming, Inc. and Corsair</w:t>
              </w:r>
            </w:hyperlink>
          </w:p>
        </w:tc>
        <w:tc>
          <w:tcPr>
            <w:tcW w:w="300" w:type="dxa"/>
            <w:vAlign w:val="bottom"/>
            <w:gridSpan w:val="5"/>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7"/>
              </w:rPr>
              <w:t>4.2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11/10/2020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960" w:type="dxa"/>
            <w:vAlign w:val="bottom"/>
            <w:gridSpan w:val="24"/>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Group (Cayman), LP.</w:t>
              </w:r>
            </w:hyperlink>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4.3</w:t>
            </w:r>
          </w:p>
        </w:tc>
        <w:tc>
          <w:tcPr>
            <w:tcW w:w="54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Description of Corsair’s Securities Registered Pursuant to Section 12 of the</w:t>
              </w:r>
            </w:hyperlink>
          </w:p>
        </w:tc>
        <w:tc>
          <w:tcPr>
            <w:tcW w:w="480" w:type="dxa"/>
            <w:vAlign w:val="bottom"/>
            <w:gridSpan w:val="8"/>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7"/>
              </w:rPr>
              <w:t>4.3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03/11/2021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4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Securities Exchange Act of 1934.</w:t>
              </w:r>
            </w:hyperlink>
          </w:p>
        </w:tc>
        <w:tc>
          <w:tcPr>
            <w:tcW w:w="20" w:type="dxa"/>
            <w:vAlign w:val="bottom"/>
            <w:tcBorders>
              <w:bottom w:val="single" w:sz="8" w:color="0000EE"/>
            </w:tcBorders>
          </w:tcPr>
          <w:p>
            <w:pPr>
              <w:spacing w:after="0"/>
              <w:rPr>
                <w:sz w:val="17"/>
                <w:szCs w:val="17"/>
                <w:color w:val="auto"/>
              </w:rPr>
            </w:pPr>
          </w:p>
        </w:tc>
        <w:tc>
          <w:tcPr>
            <w:tcW w:w="3520" w:type="dxa"/>
            <w:vAlign w:val="bottom"/>
            <w:gridSpan w:val="15"/>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4.4</w:t>
            </w:r>
          </w:p>
        </w:tc>
        <w:tc>
          <w:tcPr>
            <w:tcW w:w="5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Registration Rights Agreement, by and between Corsair Gaming, Inc. and Corsair</w:t>
              </w:r>
            </w:hyperlink>
          </w:p>
        </w:tc>
        <w:tc>
          <w:tcPr>
            <w:tcW w:w="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7"/>
              </w:rPr>
              <w:t>4.4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960" w:type="dxa"/>
            <w:vAlign w:val="bottom"/>
            <w:gridSpan w:val="24"/>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Group (Cayman), LP.</w:t>
              </w:r>
            </w:hyperlink>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vMerge w:val="restart"/>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10.1</w:t>
            </w:r>
          </w:p>
        </w:tc>
        <w:tc>
          <w:tcPr>
            <w:tcW w:w="55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Amended and Restated Credit Agreement, dated as of June 30, 2025, by and</w:t>
              </w:r>
            </w:hyperlink>
          </w:p>
        </w:tc>
        <w:tc>
          <w:tcPr>
            <w:tcW w:w="420" w:type="dxa"/>
            <w:vAlign w:val="bottom"/>
            <w:gridSpan w:val="6"/>
          </w:tcPr>
          <w:p>
            <w:pPr>
              <w:spacing w:after="0"/>
              <w:rPr>
                <w:sz w:val="24"/>
                <w:szCs w:val="24"/>
                <w:color w:val="auto"/>
              </w:rPr>
            </w:pPr>
          </w:p>
        </w:tc>
        <w:tc>
          <w:tcPr>
            <w:tcW w:w="960" w:type="dxa"/>
            <w:vAlign w:val="bottom"/>
            <w:vMerge w:val="continue"/>
          </w:tcPr>
          <w:p>
            <w:pPr>
              <w:spacing w:after="0"/>
              <w:rPr>
                <w:sz w:val="24"/>
                <w:szCs w:val="24"/>
                <w:color w:val="auto"/>
              </w:rPr>
            </w:pPr>
          </w:p>
        </w:tc>
        <w:tc>
          <w:tcPr>
            <w:tcW w:w="134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07/02/2025</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3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among Corsair Gaming, Inc., as the borrower, certain of its subsidiaries as</w:t>
              </w:r>
            </w:hyperlink>
          </w:p>
        </w:tc>
        <w:tc>
          <w:tcPr>
            <w:tcW w:w="580" w:type="dxa"/>
            <w:vAlign w:val="bottom"/>
            <w:gridSpan w:val="9"/>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8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guarantors, and Bank of America N.A., as administrative agent, swingline lender</w:t>
              </w:r>
            </w:hyperlink>
          </w:p>
        </w:tc>
        <w:tc>
          <w:tcPr>
            <w:tcW w:w="10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1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35">
              <w:r>
                <w:rPr>
                  <w:rFonts w:ascii="Times New Roman" w:cs="Times New Roman" w:eastAsia="Times New Roman" w:hAnsi="Times New Roman"/>
                  <w:sz w:val="18"/>
                  <w:szCs w:val="18"/>
                  <w:color w:val="0000FF"/>
                  <w:w w:val="98"/>
                </w:rPr>
                <w:t>and L/C issuer.</w:t>
              </w:r>
            </w:hyperlink>
          </w:p>
        </w:tc>
        <w:tc>
          <w:tcPr>
            <w:tcW w:w="20" w:type="dxa"/>
            <w:vAlign w:val="bottom"/>
            <w:tcBorders>
              <w:bottom w:val="single" w:sz="8" w:color="0000EE"/>
            </w:tcBorders>
          </w:tcPr>
          <w:p>
            <w:pPr>
              <w:spacing w:after="0"/>
              <w:rPr>
                <w:sz w:val="17"/>
                <w:szCs w:val="17"/>
                <w:color w:val="auto"/>
              </w:rPr>
            </w:pPr>
          </w:p>
        </w:tc>
        <w:tc>
          <w:tcPr>
            <w:tcW w:w="4840" w:type="dxa"/>
            <w:vAlign w:val="bottom"/>
            <w:gridSpan w:val="22"/>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31.1</w:t>
            </w:r>
          </w:p>
        </w:tc>
        <w:tc>
          <w:tcPr>
            <w:tcW w:w="5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under Securities Exchange Act Rule</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2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w:t>
            </w:r>
          </w:p>
        </w:tc>
        <w:tc>
          <w:tcPr>
            <w:tcW w:w="4000" w:type="dxa"/>
            <w:vAlign w:val="bottom"/>
            <w:tcBorders>
              <w:top w:val="single" w:sz="8" w:color="0000FF"/>
            </w:tcBorders>
            <w:gridSpan w:val="17"/>
          </w:tcPr>
          <w:p>
            <w:pPr>
              <w:spacing w:after="0"/>
              <w:rPr>
                <w:sz w:val="17"/>
                <w:szCs w:val="17"/>
                <w:color w:val="auto"/>
              </w:rPr>
            </w:pPr>
          </w:p>
        </w:tc>
        <w:tc>
          <w:tcPr>
            <w:tcW w:w="14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31.2</w:t>
            </w:r>
          </w:p>
        </w:tc>
        <w:tc>
          <w:tcPr>
            <w:tcW w:w="5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under Securities Exchange Act Rule</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2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w:t>
            </w:r>
          </w:p>
        </w:tc>
        <w:tc>
          <w:tcPr>
            <w:tcW w:w="20" w:type="dxa"/>
            <w:vAlign w:val="bottom"/>
            <w:tcBorders>
              <w:top w:val="single" w:sz="8" w:color="0000FF"/>
              <w:bottom w:val="single" w:sz="8" w:color="0000EE"/>
            </w:tcBorders>
          </w:tcPr>
          <w:p>
            <w:pPr>
              <w:spacing w:after="0"/>
              <w:rPr>
                <w:sz w:val="17"/>
                <w:szCs w:val="17"/>
                <w:color w:val="auto"/>
              </w:rPr>
            </w:pPr>
          </w:p>
        </w:tc>
        <w:tc>
          <w:tcPr>
            <w:tcW w:w="3940" w:type="dxa"/>
            <w:vAlign w:val="bottom"/>
            <w:tcBorders>
              <w:top w:val="single" w:sz="8" w:color="0000FF"/>
            </w:tcBorders>
            <w:gridSpan w:val="15"/>
          </w:tcPr>
          <w:p>
            <w:pPr>
              <w:spacing w:after="0"/>
              <w:rPr>
                <w:sz w:val="17"/>
                <w:szCs w:val="17"/>
                <w:color w:val="auto"/>
              </w:rPr>
            </w:pPr>
          </w:p>
        </w:tc>
        <w:tc>
          <w:tcPr>
            <w:tcW w:w="18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32.1*</w:t>
            </w:r>
          </w:p>
        </w:tc>
        <w:tc>
          <w:tcPr>
            <w:tcW w:w="5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28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1350 and Securities Exchange Act Rule 13a</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14(b).</w:t>
            </w:r>
          </w:p>
        </w:tc>
        <w:tc>
          <w:tcPr>
            <w:tcW w:w="20" w:type="dxa"/>
            <w:vAlign w:val="bottom"/>
            <w:tcBorders>
              <w:top w:val="single" w:sz="8" w:color="0000FF"/>
              <w:bottom w:val="single" w:sz="8" w:color="0000EE"/>
            </w:tcBorders>
          </w:tcPr>
          <w:p>
            <w:pPr>
              <w:spacing w:after="0"/>
              <w:rPr>
                <w:sz w:val="17"/>
                <w:szCs w:val="17"/>
                <w:color w:val="auto"/>
              </w:rPr>
            </w:pPr>
          </w:p>
        </w:tc>
        <w:tc>
          <w:tcPr>
            <w:tcW w:w="220" w:type="dxa"/>
            <w:vAlign w:val="bottom"/>
            <w:tcBorders>
              <w:top w:val="single" w:sz="8" w:color="0000FF"/>
            </w:tcBorders>
            <w:gridSpan w:val="3"/>
          </w:tcPr>
          <w:p>
            <w:pPr>
              <w:spacing w:after="0"/>
              <w:rPr>
                <w:sz w:val="17"/>
                <w:szCs w:val="17"/>
                <w:color w:val="auto"/>
              </w:rPr>
            </w:pPr>
          </w:p>
        </w:tc>
        <w:tc>
          <w:tcPr>
            <w:tcW w:w="44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8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101.INS</w:t>
            </w:r>
          </w:p>
        </w:tc>
        <w:tc>
          <w:tcPr>
            <w:tcW w:w="59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9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101.SCH</w:t>
            </w:r>
          </w:p>
        </w:tc>
        <w:tc>
          <w:tcPr>
            <w:tcW w:w="59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38"/>
        </w:trPr>
        <w:tc>
          <w:tcPr>
            <w:tcW w:w="8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6"/>
              </w:rPr>
              <w:t>104</w:t>
            </w:r>
          </w:p>
        </w:tc>
        <w:tc>
          <w:tcPr>
            <w:tcW w:w="59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right="60" w:hanging="267"/>
        <w:spacing w:after="0" w:line="264"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Corsair Gaming, Inc. | Q1 2026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Corsair Gaming, Inc.</w:t>
      </w:r>
    </w:p>
    <w:p>
      <w:pPr>
        <w:sectPr>
          <w:pgSz w:w="11900" w:h="16838" w:orient="portrait"/>
          <w:cols w:equalWidth="0" w:num="1">
            <w:col w:w="10900"/>
          </w:cols>
          <w:pgMar w:left="320" w:top="117" w:right="67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Gordon Mattingly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24765</wp:posOffset>
            </wp:positionV>
            <wp:extent cx="33089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4980" w:space="720"/>
            <w:col w:w="1440" w:space="720"/>
            <w:col w:w="3040"/>
          </w:cols>
          <w:pgMar w:left="320" w:top="117" w:right="679" w:bottom="1440" w:gutter="0" w:footer="0" w:header="0"/>
          <w:type w:val="continuous"/>
        </w:sectPr>
      </w:pPr>
    </w:p>
    <w:p>
      <w:pPr>
        <w:jc w:val="center"/>
        <w:ind w:left="5980"/>
        <w:spacing w:after="0"/>
        <w:rPr>
          <w:sz w:val="20"/>
          <w:szCs w:val="20"/>
          <w:color w:val="auto"/>
        </w:rPr>
      </w:pPr>
      <w:r>
        <w:rPr>
          <w:rFonts w:ascii="Times New Roman" w:cs="Times New Roman" w:eastAsia="Times New Roman" w:hAnsi="Times New Roman"/>
          <w:sz w:val="18"/>
          <w:szCs w:val="18"/>
          <w:color w:val="auto"/>
        </w:rPr>
        <w:t>Gordon Mattingly</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Corsair Gaming, Inc. | Q1 2026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Thi L. La, certify that:</w:t>
      </w:r>
    </w:p>
    <w:p>
      <w:pPr>
        <w:spacing w:after="0" w:line="225"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Corsair Gaming,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Thi L. La</w:t>
            </w:r>
          </w:p>
        </w:tc>
      </w:tr>
      <w:tr>
        <w:trPr>
          <w:trHeight w:val="191"/>
        </w:trPr>
        <w:tc>
          <w:tcPr>
            <w:tcW w:w="35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Thi L. La</w:t>
            </w:r>
          </w:p>
        </w:tc>
      </w:tr>
      <w:tr>
        <w:trPr>
          <w:trHeight w:val="214"/>
        </w:trPr>
        <w:tc>
          <w:tcPr>
            <w:tcW w:w="3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1627"/>
        </w:trPr>
        <w:tc>
          <w:tcPr>
            <w:tcW w:w="35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Gordon Mattingly, certify that:</w:t>
      </w:r>
    </w:p>
    <w:p>
      <w:pPr>
        <w:spacing w:after="0" w:line="225"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Corsair Gaming,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Gordon Mattingly</w:t>
            </w:r>
          </w:p>
        </w:tc>
      </w:tr>
      <w:tr>
        <w:trPr>
          <w:trHeight w:val="191"/>
        </w:trPr>
        <w:tc>
          <w:tcPr>
            <w:tcW w:w="35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Gordon Mattingly</w:t>
            </w:r>
          </w:p>
        </w:tc>
      </w:tr>
      <w:tr>
        <w:trPr>
          <w:trHeight w:val="214"/>
        </w:trPr>
        <w:tc>
          <w:tcPr>
            <w:tcW w:w="3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1627"/>
        </w:trPr>
        <w:tc>
          <w:tcPr>
            <w:tcW w:w="35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32" w:lineRule="exact"/>
        <w:rPr>
          <w:sz w:val="20"/>
          <w:szCs w:val="20"/>
          <w:color w:val="auto"/>
        </w:rPr>
      </w:pPr>
    </w:p>
    <w:p>
      <w:pPr>
        <w:ind w:right="100" w:firstLine="56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Corsair Gaming, Inc. (the “Company”) on Form 10-Q for the quarter ended March 31, 2026 (the “Report”), Thi L. La, Chief Executive Officer of the Company, and Gordon Mattingly, Chief Financial Officer of the Company, each certify, to the best of his knowledge, pursuant to 18 U.S.C. Section 1350, as adopted pursuant to Section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Thi L. La</w:t>
            </w:r>
          </w:p>
        </w:tc>
      </w:tr>
      <w:tr>
        <w:trPr>
          <w:trHeight w:val="191"/>
        </w:trPr>
        <w:tc>
          <w:tcPr>
            <w:tcW w:w="3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Thi L. La</w:t>
            </w:r>
          </w:p>
        </w:tc>
      </w:tr>
      <w:tr>
        <w:trPr>
          <w:trHeight w:val="214"/>
        </w:trPr>
        <w:tc>
          <w:tcPr>
            <w:tcW w:w="3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86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Gordon Mattingly</w:t>
            </w:r>
          </w:p>
        </w:tc>
      </w:tr>
      <w:tr>
        <w:trPr>
          <w:trHeight w:val="191"/>
        </w:trPr>
        <w:tc>
          <w:tcPr>
            <w:tcW w:w="3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Gordon Mattingly</w:t>
            </w:r>
          </w:p>
        </w:tc>
      </w:tr>
      <w:tr>
        <w:trPr>
          <w:trHeight w:val="214"/>
        </w:trPr>
        <w:tc>
          <w:tcPr>
            <w:tcW w:w="3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1195"/>
        </w:trPr>
        <w:tc>
          <w:tcPr>
            <w:tcW w:w="35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lvl w:ilvl="1">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lvl w:ilvl="1">
      <w:lvlJc w:val="left"/>
      <w:lvlText w:val="(%2)"/>
      <w:numFmt w:val="decimal"/>
      <w:start w:val="1"/>
    </w:lvl>
  </w:abstractNum>
  <w:abstractNum w:abstractNumId="6">
    <w:nsid w:val="DED7263"/>
    <w:multiLevelType w:val="hybridMultilevel"/>
    <w:lvl w:ilvl="0">
      <w:lvlJc w:val="left"/>
      <w:lvlText w:val="%1."/>
      <w:numFmt w:val="decimal"/>
      <w:start w:val="11"/>
    </w:lvl>
    <w:lvl w:ilvl="1">
      <w:lvlJc w:val="left"/>
      <w:lvlText w:val="%2"/>
      <w:numFmt w:val="decimal"/>
      <w:start w:val="1"/>
    </w:lvl>
  </w:abstractNum>
  <w:abstractNum w:abstractNumId="7">
    <w:nsid w:val="7FDCC233"/>
    <w:multiLevelType w:val="hybridMultilevel"/>
    <w:lvl w:ilvl="0">
      <w:lvlJc w:val="left"/>
      <w:lvlText w:val="(%1)"/>
      <w:numFmt w:val="lowerLetter"/>
      <w:start w:val="2"/>
    </w:lvl>
    <w:lvl w:ilvl="1">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2"/>
    </w:lvl>
  </w:abstractNum>
  <w:abstractNum w:abstractNumId="10">
    <w:nsid w:val="6B68079A"/>
    <w:multiLevelType w:val="hybridMultilevel"/>
    <w:lvl w:ilvl="0">
      <w:lvlJc w:val="left"/>
      <w:lvlText w:val="%1"/>
      <w:numFmt w:val="decimal"/>
      <w:start w:val="1"/>
    </w:lvl>
    <w:lvl w:ilvl="1">
      <w:lvlJc w:val="left"/>
      <w:lvlText w:val="(%2)"/>
      <w:numFmt w:val="decimal"/>
      <w:start w:val="1"/>
    </w:lvl>
  </w:abstractNum>
  <w:abstractNum w:abstractNumId="11">
    <w:nsid w:val="4E6AFB66"/>
    <w:multiLevelType w:val="hybridMultilevel"/>
    <w:lvl w:ilvl="0">
      <w:lvlJc w:val="left"/>
      <w:lvlText w:val="%1."/>
      <w:numFmt w:val="decimal"/>
      <w:start w:val="13"/>
    </w:lvl>
    <w:lvl w:ilvl="1">
      <w:lvlJc w:val="left"/>
      <w:lvlText w:val="%2"/>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29" Type="http://schemas.openxmlformats.org/officeDocument/2006/relationships/hyperlink" Target="https://www.sec.gov/Archives/edgar/data/1743759/000119312520254569/d65933dex31.htm" TargetMode="External"/><Relationship Id="rId230" Type="http://schemas.openxmlformats.org/officeDocument/2006/relationships/hyperlink" Target="https://www.sec.gov/Archives/edgar/data/1743759/000119312520254569/d65933dex32.htm" TargetMode="External"/><Relationship Id="rId231" Type="http://schemas.openxmlformats.org/officeDocument/2006/relationships/hyperlink" Target="https://www.sec.gov/Archives/edgar/data/1743759/000119312520248527/d507744dex42.htm" TargetMode="External"/><Relationship Id="rId232" Type="http://schemas.openxmlformats.org/officeDocument/2006/relationships/hyperlink" Target="https://www.sec.gov/Archives/edgar/data/1743759/000156459020052867/crsr-ex42_448.htm" TargetMode="External"/><Relationship Id="rId233" Type="http://schemas.openxmlformats.org/officeDocument/2006/relationships/hyperlink" Target="https://www.sec.gov/Archives/edgar/data/0001743759/000156459021012507/crsr-ex43_1280.htm" TargetMode="External"/><Relationship Id="rId234" Type="http://schemas.openxmlformats.org/officeDocument/2006/relationships/hyperlink" Target="https://www.sec.gov/Archives/edgar/data/0001743759/000119312520244634/d507744dex44.htm" TargetMode="External"/><Relationship Id="rId235" Type="http://schemas.openxmlformats.org/officeDocument/2006/relationships/hyperlink" Target="https://www.sec.gov/Archives/edgar/data/1743759/000095017025092527/crsr-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2026-05-07T15:29:10Z</dcterms:created>
  <dcterms:modified xsi:type="dcterms:W3CDTF">2026-05-07T15:29:10Z</dcterms:modified>
</cp:coreProperties>
</file>