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_page">
        <w:bookmarkStart w:id="0" w:name="crsr-20240630.htm"/>
        <w:bookmarkStart w:id="1" w:name="kscrsr20240630"/>
        <w:bookmarkEnd w:id="0"/>
        <w:bookmarkEnd w:id="1"/>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4"/>
        </w:rPr>
      </w:pPr>
      <w:r>
        <w:rPr>
          <w:rFonts w:ascii="Times New Roman" w:hAnsi="Times New Roman"/>
          <w:b/>
          <w:color w:val="000000"/>
          <w:sz w:val="14"/>
        </w:rPr>
        <w:t>(Mark One)</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421"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For the quarterly period ended June 30, 2024</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center"/>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421"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For the transition period from _________ to _________</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001-39533</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4"/>
        </w:rPr>
      </w:pPr>
      <w:r>
        <w:rPr>
          <w:rFonts w:ascii="Times New Roman" w:hAnsi="Times New Roman"/>
          <w:b/>
          <w:color w:val="000000"/>
          <w:sz w:val="44"/>
        </w:rPr>
        <w:t>Corsair Gaming,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107" w:type="dxa"/>
        <w:jc w:val="left"/>
        <w:tblInd w:w="0" w:type="dxa"/>
        <w:tblLayout w:type="fixed"/>
        <w:tblCellMar>
          <w:top w:w="28" w:type="dxa"/>
          <w:left w:w="28" w:type="dxa"/>
          <w:bottom w:w="28" w:type="dxa"/>
          <w:right w:w="28" w:type="dxa"/>
        </w:tblCellMar>
      </w:tblPr>
      <w:tblGrid>
        <w:gridCol w:w="1891"/>
        <w:gridCol w:w="1216"/>
      </w:tblGrid>
      <w:tr>
        <w:trPr/>
        <w:tc>
          <w:tcPr>
            <w:tcW w:w="189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82-2335306</w:t>
            </w:r>
          </w:p>
        </w:tc>
      </w:tr>
      <w:tr>
        <w:trPr/>
        <w:tc>
          <w:tcPr>
            <w:tcW w:w="1891" w:type="dxa"/>
            <w:tcBorders/>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216" w:type="dxa"/>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(I.R.S. Employer</w:t>
              <w:br/>
              <w:t>Identification No.)</w:t>
            </w:r>
          </w:p>
        </w:tc>
      </w:tr>
    </w:tbl>
    <w:p>
      <w:pPr>
        <w:pStyle w:val="TextBody"/>
        <w:bidi w:val="0"/>
        <w:jc w:val="center"/>
        <w:rPr/>
      </w:pPr>
      <w:r>
        <w:rPr/>
        <w:t> </w:t>
      </w:r>
    </w:p>
    <w:tbl>
      <w:tblPr>
        <w:tblW w:w="3315" w:type="dxa"/>
        <w:jc w:val="left"/>
        <w:tblInd w:w="0" w:type="dxa"/>
        <w:tblLayout w:type="fixed"/>
        <w:tblCellMar>
          <w:top w:w="28" w:type="dxa"/>
          <w:left w:w="28" w:type="dxa"/>
          <w:bottom w:w="28" w:type="dxa"/>
          <w:right w:w="28" w:type="dxa"/>
        </w:tblCellMar>
      </w:tblPr>
      <w:tblGrid>
        <w:gridCol w:w="1515"/>
        <w:gridCol w:w="1800"/>
      </w:tblGrid>
      <w:tr>
        <w:trPr/>
        <w:tc>
          <w:tcPr>
            <w:tcW w:w="1515"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3315" w:type="dxa"/>
            <w:gridSpan w:val="2"/>
            <w:tcBorders/>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115 N. McCarthy Boulevard</w:t>
            </w:r>
          </w:p>
        </w:tc>
      </w:tr>
      <w:tr>
        <w:trPr/>
        <w:tc>
          <w:tcPr>
            <w:tcW w:w="3315" w:type="dxa"/>
            <w:gridSpan w:val="2"/>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Milpitas, CA</w:t>
            </w:r>
            <w:r>
              <w:rPr>
                <w:rFonts w:ascii="Times New Roman" w:hAnsi="Times New Roman"/>
                <w:color w:val="000000"/>
                <w:sz w:val="20"/>
              </w:rPr>
              <w:t xml:space="preserve"> </w:t>
            </w:r>
            <w:r>
              <w:rPr>
                <w:rFonts w:ascii="Times New Roman" w:hAnsi="Times New Roman"/>
                <w:b/>
                <w:color w:val="000000"/>
                <w:sz w:val="20"/>
              </w:rPr>
              <w:t>95035</w:t>
            </w:r>
          </w:p>
        </w:tc>
      </w:tr>
      <w:tr>
        <w:trPr/>
        <w:tc>
          <w:tcPr>
            <w:tcW w:w="3315" w:type="dxa"/>
            <w:gridSpan w:val="2"/>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 and zip code)</w:t>
            </w:r>
          </w:p>
        </w:tc>
      </w:tr>
      <w:tr>
        <w:trPr/>
        <w:tc>
          <w:tcPr>
            <w:tcW w:w="1515" w:type="dxa"/>
            <w:tcBorders/>
            <w:vAlign w:val="center"/>
          </w:tcPr>
          <w:p>
            <w:pPr>
              <w:pStyle w:val="TableContents"/>
              <w:bidi w:val="0"/>
              <w:spacing w:before="0" w:after="283"/>
              <w:jc w:val="center"/>
              <w:rPr/>
            </w:pPr>
            <w:r>
              <w:rPr/>
              <w:t> </w:t>
            </w:r>
          </w:p>
        </w:tc>
        <w:tc>
          <w:tcPr>
            <w:tcW w:w="1800" w:type="dxa"/>
            <w:tcBorders/>
            <w:vAlign w:val="center"/>
          </w:tcPr>
          <w:p>
            <w:pPr>
              <w:pStyle w:val="TableContents"/>
              <w:bidi w:val="0"/>
              <w:spacing w:before="0" w:after="283"/>
              <w:jc w:val="center"/>
              <w:rPr/>
            </w:pPr>
            <w:r>
              <w:rPr/>
              <w:t> </w:t>
            </w:r>
          </w:p>
        </w:tc>
      </w:tr>
      <w:tr>
        <w:trPr/>
        <w:tc>
          <w:tcPr>
            <w:tcW w:w="3315" w:type="dxa"/>
            <w:gridSpan w:val="2"/>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(510) 657-8747</w:t>
            </w:r>
          </w:p>
        </w:tc>
      </w:tr>
      <w:tr>
        <w:trPr/>
        <w:tc>
          <w:tcPr>
            <w:tcW w:w="3315" w:type="dxa"/>
            <w:gridSpan w:val="2"/>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(Registrant’s Telephone Number, Including Area Code)</w:t>
            </w:r>
          </w:p>
        </w:tc>
      </w:tr>
    </w:tbl>
    <w:p>
      <w:pPr>
        <w:pStyle w:val="TextBody"/>
        <w:bidi w:val="0"/>
        <w:jc w:val="center"/>
        <w:rPr/>
      </w:pPr>
      <w:r>
        <w:rPr/>
        <w:t> </w:t>
      </w:r>
    </w:p>
    <w:p>
      <w:pPr>
        <w:pStyle w:val="TextBody"/>
        <w:pBdr>
          <w:top w:val="single" w:sz="4" w:space="1" w:color="000000"/>
        </w:pBdr>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Not Applicable</w:t>
      </w:r>
    </w:p>
    <w:p>
      <w:pPr>
        <w:pStyle w:val="TextBody"/>
        <w:bidi w:val="0"/>
        <w:jc w:val="center"/>
        <w:rPr>
          <w:rFonts w:ascii="Times New Roman" w:hAnsi="Times New Roman"/>
          <w:color w:val="000000"/>
          <w:sz w:val="14"/>
        </w:rPr>
      </w:pPr>
      <w:r>
        <w:rPr>
          <w:rFonts w:ascii="Times New Roman" w:hAnsi="Times New Roman"/>
          <w:color w:val="000000"/>
          <w:sz w:val="14"/>
        </w:rPr>
        <w:t>(Former name, former address and former fiscal year,</w:t>
      </w:r>
    </w:p>
    <w:p>
      <w:pPr>
        <w:pStyle w:val="TextBody"/>
        <w:bidi w:val="0"/>
        <w:jc w:val="center"/>
        <w:rPr>
          <w:rFonts w:ascii="Times New Roman" w:hAnsi="Times New Roman"/>
          <w:color w:val="000000"/>
          <w:sz w:val="14"/>
        </w:rPr>
      </w:pPr>
      <w:r>
        <w:rPr>
          <w:rFonts w:ascii="Times New Roman" w:hAnsi="Times New Roman"/>
          <w:color w:val="000000"/>
          <w:sz w:val="14"/>
        </w:rPr>
        <w:t>if changed since last report)</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510" w:type="dxa"/>
        <w:jc w:val="left"/>
        <w:tblInd w:w="0" w:type="dxa"/>
        <w:tblLayout w:type="fixed"/>
        <w:tblCellMar>
          <w:top w:w="28" w:type="dxa"/>
          <w:left w:w="28" w:type="dxa"/>
          <w:bottom w:w="28" w:type="dxa"/>
          <w:right w:w="28" w:type="dxa"/>
        </w:tblCellMar>
      </w:tblPr>
      <w:tblGrid>
        <w:gridCol w:w="3286"/>
        <w:gridCol w:w="146"/>
        <w:gridCol w:w="1231"/>
        <w:gridCol w:w="146"/>
        <w:gridCol w:w="270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286" w:type="dxa"/>
            <w:tcBorders>
              <w:bottom w:val="single" w:sz="4"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CRSR</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187"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July 24, 2024, the registrant had 104,146,380</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Times New Roman" w:hAnsi="Times New Roman"/>
                  <w:color w:val="0000FF"/>
                  <w:sz w:val="20"/>
                  <w:u w:val="single"/>
                </w:rPr>
                <w:t>Condensed Consolidated Statements of Comprehensive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Condensed Consolidated Statements of Stockholders' Equity</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ia_risk_factor">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 ABOUT FORWARD-LOOKING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Quarterly Report and relate to matters such as our industry and the markets we operate in,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contained in this Quarterly Report on Form 10-Q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general economic conditions and supply chain issues. We believe that these factors include but are not limited to those described under the heading “Risk Factors” in Part I, Item 1A of our Annual Report on Form 10-K for the year ended December 31, 2023. These factors should not be construed as exhaustive and should be read in conjunction with the other cautionary statements that are included in this Quarterly Report on Form 10-Q. We undertake no obligation to publicly update or review any forward-looking statement, whether as a result of new information, future developments or otherwise, except as may be required by any applicable securities laws.</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Corsair Gaming,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66"/>
        <w:gridCol w:w="146"/>
        <w:gridCol w:w="211"/>
        <w:gridCol w:w="781"/>
        <w:gridCol w:w="166"/>
        <w:gridCol w:w="146"/>
        <w:gridCol w:w="211"/>
        <w:gridCol w:w="781"/>
        <w:gridCol w:w="166"/>
        <w:gridCol w:w="146"/>
        <w:gridCol w:w="211"/>
        <w:gridCol w:w="781"/>
        <w:gridCol w:w="391"/>
      </w:tblGrid>
      <w:tr>
        <w:trP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679,396</w:t>
            </w:r>
          </w:p>
        </w:tc>
        <w:tc>
          <w:tcPr>
            <w:tcW w:w="391" w:type="dxa"/>
            <w:tcBorders/>
            <w:shd w:fill="CFF0FC" w:val="cle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168,236</w:t>
            </w:r>
          </w:p>
        </w:tc>
        <w:tc>
          <w:tcPr>
            <w:tcW w:w="391" w:type="dxa"/>
            <w:tcBorders/>
            <w:shd w:fill="CFF0FC" w:val="cle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476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76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476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(8,798</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76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Corsair Gaming, Inc.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Calculation of net loss per share attributable to common stockholders of Corsair Gaming, Inc.:</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476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Corsair Gaming, Inc.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redemption value of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 attributable to common stockholders of Corsair Gaming, Inc.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 common stockholders of Corsair Gaming, Inc.:</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476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76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91" w:type="dxa"/>
            <w:tcBorders/>
            <w:shd w:fill="CFF0FC" w:val="cle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476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101,996</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76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106,169</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Corsair Gaming, Inc.</w:t>
      </w:r>
    </w:p>
    <w:p>
      <w:pPr>
        <w:pStyle w:val="TextBody"/>
        <w:bidi w:val="0"/>
        <w:jc w:val="center"/>
        <w:rPr>
          <w:rFonts w:ascii="Times New Roman" w:hAnsi="Times New Roman"/>
          <w:b/>
          <w:color w:val="000000"/>
          <w:sz w:val="20"/>
        </w:rPr>
      </w:pPr>
      <w:bookmarkStart w:id="6" w:name="condensed_consolidated_statements_compre"/>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34"/>
        <w:gridCol w:w="146"/>
        <w:gridCol w:w="211"/>
        <w:gridCol w:w="736"/>
        <w:gridCol w:w="166"/>
        <w:gridCol w:w="146"/>
        <w:gridCol w:w="211"/>
        <w:gridCol w:w="631"/>
        <w:gridCol w:w="166"/>
        <w:gridCol w:w="146"/>
        <w:gridCol w:w="211"/>
        <w:gridCol w:w="736"/>
        <w:gridCol w:w="166"/>
        <w:gridCol w:w="146"/>
        <w:gridCol w:w="211"/>
        <w:gridCol w:w="631"/>
        <w:gridCol w:w="311"/>
      </w:tblGrid>
      <w:tr>
        <w:trPr/>
        <w:tc>
          <w:tcPr>
            <w:tcW w:w="5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2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5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523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currency translation adjustments, net of tax benefit of $43 and $64 for the three months ended June 30, 2024 and 2023, respectively, and $167 and $46 for the six months ended June 30, 2024 and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23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Unrealized foreign exchange gain (loss) from long-term intercompany loan, net of tax benefit (expense) of nil and nil for the three months ended June 30, 2024 and 2023, respectively, and $160 and $(127) for the six months ended June 30, 2024 and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23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Comprehensive income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23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Comprehensive loss attributable to Corsair Gaming, Inc.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Corsair Gaming, Inc.</w:t>
      </w:r>
    </w:p>
    <w:p>
      <w:pPr>
        <w:pStyle w:val="TextBody"/>
        <w:bidi w:val="0"/>
        <w:jc w:val="center"/>
        <w:rPr>
          <w:rFonts w:ascii="Times New Roman" w:hAnsi="Times New Roman"/>
          <w:b/>
          <w:color w:val="000000"/>
          <w:sz w:val="20"/>
        </w:rPr>
      </w:pPr>
      <w:bookmarkStart w:id="7" w:name="condensed_consolidated_balance_sheets"/>
      <w:bookmarkEnd w:id="7"/>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2"/>
        <w:gridCol w:w="146"/>
        <w:gridCol w:w="211"/>
        <w:gridCol w:w="931"/>
        <w:gridCol w:w="166"/>
        <w:gridCol w:w="146"/>
        <w:gridCol w:w="211"/>
        <w:gridCol w:w="931"/>
        <w:gridCol w:w="391"/>
      </w:tblGrid>
      <w:tr>
        <w:trPr/>
        <w:tc>
          <w:tcPr>
            <w:tcW w:w="7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175,620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253,268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240,172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579,624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711,589</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32,212</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354,705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188,009</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1,357,463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Debt maturing within one year,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239,957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 and 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418,487</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186,006</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17,395</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liabilities,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Temporary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15,937</w:t>
            </w:r>
          </w:p>
        </w:tc>
        <w:tc>
          <w:tcPr>
            <w:tcW w:w="391" w:type="dxa"/>
            <w:tcBorders/>
            <w:shd w:fill="CFF0FC" w:val="cle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Permanent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Corsair Gaming, Inc. stockholders’ equity:</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$0.0001 par value: 5,000 shares authorized, nil and nil shares issued and outstanding as of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$0.0001 par value: 300,000 shares authorized, 104,073 and 103,255 shares issued and outstanding as of June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630,642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 retained earnings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Corsair Gaming, Inc.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642,729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667,575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7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Nonredeemable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permanent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temporary equity and permanent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1,357,463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Corsair Gaming, Inc.</w:t>
      </w:r>
    </w:p>
    <w:p>
      <w:pPr>
        <w:pStyle w:val="TextBody"/>
        <w:bidi w:val="0"/>
        <w:jc w:val="center"/>
        <w:rPr>
          <w:rFonts w:ascii="Times New Roman" w:hAnsi="Times New Roman"/>
          <w:b/>
          <w:color w:val="000000"/>
          <w:sz w:val="20"/>
        </w:rPr>
      </w:pPr>
      <w:bookmarkStart w:id="8" w:name="consolidated_statements_stockholders_equ"/>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spacing w:before="240" w:after="283"/>
        <w:jc w:val="left"/>
        <w:rPr/>
      </w:pPr>
      <w:r>
        <w:rPr/>
        <w:t> </w:t>
      </w:r>
    </w:p>
    <w:tbl>
      <w:tblPr>
        <w:tblW w:w="12281" w:type="dxa"/>
        <w:jc w:val="left"/>
        <w:tblInd w:w="0" w:type="dxa"/>
        <w:tblLayout w:type="fixed"/>
        <w:tblCellMar>
          <w:top w:w="28" w:type="dxa"/>
          <w:left w:w="28" w:type="dxa"/>
          <w:bottom w:w="28" w:type="dxa"/>
          <w:right w:w="28" w:type="dxa"/>
        </w:tblCellMar>
      </w:tblPr>
      <w:tblGrid>
        <w:gridCol w:w="1286"/>
        <w:gridCol w:w="146"/>
        <w:gridCol w:w="146"/>
        <w:gridCol w:w="691"/>
        <w:gridCol w:w="166"/>
        <w:gridCol w:w="146"/>
        <w:gridCol w:w="271"/>
        <w:gridCol w:w="480"/>
        <w:gridCol w:w="146"/>
        <w:gridCol w:w="146"/>
        <w:gridCol w:w="205"/>
        <w:gridCol w:w="726"/>
        <w:gridCol w:w="166"/>
        <w:gridCol w:w="146"/>
        <w:gridCol w:w="271"/>
        <w:gridCol w:w="915"/>
        <w:gridCol w:w="166"/>
        <w:gridCol w:w="146"/>
        <w:gridCol w:w="333"/>
        <w:gridCol w:w="973"/>
        <w:gridCol w:w="166"/>
        <w:gridCol w:w="146"/>
        <w:gridCol w:w="245"/>
        <w:gridCol w:w="866"/>
        <w:gridCol w:w="166"/>
        <w:gridCol w:w="146"/>
        <w:gridCol w:w="321"/>
        <w:gridCol w:w="985"/>
        <w:gridCol w:w="166"/>
        <w:gridCol w:w="146"/>
        <w:gridCol w:w="209"/>
        <w:gridCol w:w="737"/>
        <w:gridCol w:w="311"/>
      </w:tblGrid>
      <w:tr>
        <w:trPr/>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38"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 Earnings</w:t>
              <w:b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Corsair Gaming, Inc.</w:t>
              <w:br/>
              <w:t>Stockholders’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Nonredeemable</w:t>
              <w:b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Permanent</w:t>
            </w:r>
          </w:p>
        </w:tc>
        <w:tc>
          <w:tcPr>
            <w:tcW w:w="311" w:type="dxa"/>
            <w:tcBorders/>
            <w:shd w:fill="FFFFFF" w:val="clear"/>
            <w:vAlign w:val="center"/>
          </w:tcPr>
          <w:p>
            <w:pPr>
              <w:pStyle w:val="TableContents"/>
              <w:bidi w:val="0"/>
              <w:spacing w:before="0" w:after="283"/>
              <w:jc w:val="center"/>
              <w:rPr/>
            </w:pPr>
            <w:r>
              <w:rPr/>
              <w:t> </w:t>
            </w:r>
          </w:p>
        </w:tc>
      </w:tr>
      <w:tr>
        <w:trPr/>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1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640,293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663,539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673,326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(24,194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(24,194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(23,914</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Change in redemption value of redeemable noncontrolling 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(5,385</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Issuance of common stock in connection with employee equity incentive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Shares withheld related to net share settlement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649,235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652,762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1906" w:type="dxa"/>
        <w:jc w:val="left"/>
        <w:tblInd w:w="0" w:type="dxa"/>
        <w:tblLayout w:type="fixed"/>
        <w:tblCellMar>
          <w:top w:w="28" w:type="dxa"/>
          <w:left w:w="28" w:type="dxa"/>
          <w:bottom w:w="28" w:type="dxa"/>
          <w:right w:w="28" w:type="dxa"/>
        </w:tblCellMar>
      </w:tblPr>
      <w:tblGrid>
        <w:gridCol w:w="1286"/>
        <w:gridCol w:w="146"/>
        <w:gridCol w:w="146"/>
        <w:gridCol w:w="691"/>
        <w:gridCol w:w="166"/>
        <w:gridCol w:w="146"/>
        <w:gridCol w:w="271"/>
        <w:gridCol w:w="480"/>
        <w:gridCol w:w="146"/>
        <w:gridCol w:w="146"/>
        <w:gridCol w:w="205"/>
        <w:gridCol w:w="726"/>
        <w:gridCol w:w="166"/>
        <w:gridCol w:w="146"/>
        <w:gridCol w:w="199"/>
        <w:gridCol w:w="612"/>
        <w:gridCol w:w="166"/>
        <w:gridCol w:w="146"/>
        <w:gridCol w:w="333"/>
        <w:gridCol w:w="973"/>
        <w:gridCol w:w="166"/>
        <w:gridCol w:w="146"/>
        <w:gridCol w:w="245"/>
        <w:gridCol w:w="866"/>
        <w:gridCol w:w="166"/>
        <w:gridCol w:w="146"/>
        <w:gridCol w:w="321"/>
        <w:gridCol w:w="985"/>
        <w:gridCol w:w="166"/>
        <w:gridCol w:w="146"/>
        <w:gridCol w:w="209"/>
        <w:gridCol w:w="737"/>
        <w:gridCol w:w="311"/>
      </w:tblGrid>
      <w:tr>
        <w:trPr/>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63"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Corsair Gaming, Inc.</w:t>
              <w:br/>
              <w:t>Stockholders’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Nonredeemable</w:t>
              <w:b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Permanent</w:t>
            </w:r>
          </w:p>
        </w:tc>
        <w:tc>
          <w:tcPr>
            <w:tcW w:w="311" w:type="dxa"/>
            <w:tcBorders/>
            <w:shd w:fill="FFFFFF" w:val="clear"/>
            <w:vAlign w:val="center"/>
          </w:tcPr>
          <w:p>
            <w:pPr>
              <w:pStyle w:val="TableContents"/>
              <w:bidi w:val="0"/>
              <w:spacing w:before="0" w:after="283"/>
              <w:jc w:val="center"/>
              <w:rPr/>
            </w:pPr>
            <w:r>
              <w:rPr/>
              <w:t> </w:t>
            </w:r>
          </w:p>
        </w:tc>
      </w:tr>
      <w:tr>
        <w:trPr/>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1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602,368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633,271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643,663</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(4,316</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Other comprehensive income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Change in redemption value of redeemable noncontrolling 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5,577</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Issuance of common stock in connection with employee equity incentive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4,262</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Shares withheld related to net share settlement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614,671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658,691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12281" w:type="dxa"/>
        <w:jc w:val="left"/>
        <w:tblInd w:w="0" w:type="dxa"/>
        <w:tblLayout w:type="fixed"/>
        <w:tblCellMar>
          <w:top w:w="28" w:type="dxa"/>
          <w:left w:w="28" w:type="dxa"/>
          <w:bottom w:w="28" w:type="dxa"/>
          <w:right w:w="28" w:type="dxa"/>
        </w:tblCellMar>
      </w:tblPr>
      <w:tblGrid>
        <w:gridCol w:w="1286"/>
        <w:gridCol w:w="146"/>
        <w:gridCol w:w="146"/>
        <w:gridCol w:w="691"/>
        <w:gridCol w:w="166"/>
        <w:gridCol w:w="146"/>
        <w:gridCol w:w="271"/>
        <w:gridCol w:w="480"/>
        <w:gridCol w:w="146"/>
        <w:gridCol w:w="146"/>
        <w:gridCol w:w="205"/>
        <w:gridCol w:w="726"/>
        <w:gridCol w:w="166"/>
        <w:gridCol w:w="146"/>
        <w:gridCol w:w="271"/>
        <w:gridCol w:w="915"/>
        <w:gridCol w:w="166"/>
        <w:gridCol w:w="146"/>
        <w:gridCol w:w="333"/>
        <w:gridCol w:w="973"/>
        <w:gridCol w:w="166"/>
        <w:gridCol w:w="146"/>
        <w:gridCol w:w="245"/>
        <w:gridCol w:w="866"/>
        <w:gridCol w:w="166"/>
        <w:gridCol w:w="146"/>
        <w:gridCol w:w="321"/>
        <w:gridCol w:w="985"/>
        <w:gridCol w:w="166"/>
        <w:gridCol w:w="146"/>
        <w:gridCol w:w="209"/>
        <w:gridCol w:w="737"/>
        <w:gridCol w:w="311"/>
      </w:tblGrid>
      <w:tr>
        <w:trPr/>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38"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 Earnings</w:t>
              <w:b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Corsair Gaming, Inc.</w:t>
              <w:br/>
              <w:t>Stockholders’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Nonredeemable</w:t>
              <w:b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Permanent</w:t>
            </w:r>
          </w:p>
        </w:tc>
        <w:tc>
          <w:tcPr>
            <w:tcW w:w="311" w:type="dxa"/>
            <w:tcBorders/>
            <w:shd w:fill="FFFFFF" w:val="clear"/>
            <w:vAlign w:val="center"/>
          </w:tcPr>
          <w:p>
            <w:pPr>
              <w:pStyle w:val="TableContents"/>
              <w:bidi w:val="0"/>
              <w:spacing w:before="0" w:after="283"/>
              <w:jc w:val="center"/>
              <w:rPr/>
            </w:pPr>
            <w:r>
              <w:rPr/>
              <w:t> </w:t>
            </w:r>
          </w:p>
        </w:tc>
      </w:tr>
      <w:tr>
        <w:trPr/>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1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630,642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678,043</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(35,759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(35,759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(35,260</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(1,454</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Change in redemption value of redeemable noncontrolling 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(6,360</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Dividend paid to nonredeemable noncontrolling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Issuance of common stock in connection with employee equity incentive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Shares withheld related to net share settlement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642,729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652,762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tbl>
      <w:tblPr>
        <w:tblW w:w="11906" w:type="dxa"/>
        <w:jc w:val="left"/>
        <w:tblInd w:w="0" w:type="dxa"/>
        <w:tblLayout w:type="fixed"/>
        <w:tblCellMar>
          <w:top w:w="28" w:type="dxa"/>
          <w:left w:w="28" w:type="dxa"/>
          <w:bottom w:w="28" w:type="dxa"/>
          <w:right w:w="28" w:type="dxa"/>
        </w:tblCellMar>
      </w:tblPr>
      <w:tblGrid>
        <w:gridCol w:w="1286"/>
        <w:gridCol w:w="146"/>
        <w:gridCol w:w="146"/>
        <w:gridCol w:w="691"/>
        <w:gridCol w:w="166"/>
        <w:gridCol w:w="146"/>
        <w:gridCol w:w="271"/>
        <w:gridCol w:w="480"/>
        <w:gridCol w:w="146"/>
        <w:gridCol w:w="146"/>
        <w:gridCol w:w="205"/>
        <w:gridCol w:w="726"/>
        <w:gridCol w:w="166"/>
        <w:gridCol w:w="146"/>
        <w:gridCol w:w="199"/>
        <w:gridCol w:w="612"/>
        <w:gridCol w:w="166"/>
        <w:gridCol w:w="146"/>
        <w:gridCol w:w="333"/>
        <w:gridCol w:w="973"/>
        <w:gridCol w:w="166"/>
        <w:gridCol w:w="146"/>
        <w:gridCol w:w="245"/>
        <w:gridCol w:w="866"/>
        <w:gridCol w:w="166"/>
        <w:gridCol w:w="146"/>
        <w:gridCol w:w="321"/>
        <w:gridCol w:w="985"/>
        <w:gridCol w:w="166"/>
        <w:gridCol w:w="146"/>
        <w:gridCol w:w="209"/>
        <w:gridCol w:w="737"/>
        <w:gridCol w:w="311"/>
      </w:tblGrid>
      <w:tr>
        <w:trPr/>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63"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Corsair Gaming, Inc.</w:t>
              <w:br/>
              <w:t>Stockholders’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Nonredeemable</w:t>
              <w:b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Permanent</w:t>
            </w:r>
          </w:p>
        </w:tc>
        <w:tc>
          <w:tcPr>
            <w:tcW w:w="311" w:type="dxa"/>
            <w:tcBorders/>
            <w:shd w:fill="FFFFFF" w:val="clear"/>
            <w:vAlign w:val="center"/>
          </w:tcPr>
          <w:p>
            <w:pPr>
              <w:pStyle w:val="TableContents"/>
              <w:bidi w:val="0"/>
              <w:spacing w:before="0" w:after="283"/>
              <w:jc w:val="center"/>
              <w:rPr/>
            </w:pPr>
            <w:r>
              <w:rPr/>
              <w:t> </w:t>
            </w:r>
          </w:p>
        </w:tc>
      </w:tr>
      <w:tr>
        <w:trPr/>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1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593,486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623,838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634,067</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(6,179</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Other comprehensive income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3,083</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Change in redemption value of redeemable noncontrolling 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6,535</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Issuance of common stock in connection with employee equity incentive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9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6,379</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Shares withheld related to net share settlement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614,671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658,691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Corsair Gaming, Inc.</w:t>
      </w:r>
    </w:p>
    <w:p>
      <w:pPr>
        <w:pStyle w:val="TextBody"/>
        <w:bidi w:val="0"/>
        <w:jc w:val="center"/>
        <w:rPr>
          <w:rFonts w:ascii="Times New Roman" w:hAnsi="Times New Roman"/>
          <w:b/>
          <w:color w:val="000000"/>
          <w:sz w:val="18"/>
        </w:rPr>
      </w:pPr>
      <w:bookmarkStart w:id="9" w:name="condensed_consolidated_statements_cash_f"/>
      <w:bookmarkEnd w:id="9"/>
      <w:r>
        <w:rPr>
          <w:rFonts w:ascii="Times New Roman" w:hAnsi="Times New Roman"/>
          <w:b/>
          <w:color w:val="000000"/>
          <w:sz w:val="18"/>
        </w:rPr>
        <w:t>Condensed 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(Unaudited, in thousands)</w:t>
      </w:r>
    </w:p>
    <w:p>
      <w:pPr>
        <w:pStyle w:val="TextBody"/>
        <w:bidi w:val="0"/>
        <w:jc w:val="center"/>
        <w:rPr/>
      </w:pPr>
      <w:r>
        <w:rPr/>
        <w:t> </w:t>
      </w:r>
    </w:p>
    <w:tbl>
      <w:tblPr>
        <w:tblW w:w="10139" w:type="dxa"/>
        <w:jc w:val="left"/>
        <w:tblInd w:w="0" w:type="dxa"/>
        <w:tblLayout w:type="fixed"/>
        <w:tblCellMar>
          <w:top w:w="28" w:type="dxa"/>
          <w:left w:w="28" w:type="dxa"/>
          <w:bottom w:w="28" w:type="dxa"/>
          <w:right w:w="28" w:type="dxa"/>
        </w:tblCellMar>
      </w:tblPr>
      <w:tblGrid>
        <w:gridCol w:w="7186"/>
        <w:gridCol w:w="146"/>
        <w:gridCol w:w="211"/>
        <w:gridCol w:w="781"/>
        <w:gridCol w:w="166"/>
        <w:gridCol w:w="146"/>
        <w:gridCol w:w="211"/>
        <w:gridCol w:w="781"/>
        <w:gridCol w:w="511"/>
      </w:tblGrid>
      <w:tr>
        <w:trPr/>
        <w:tc>
          <w:tcPr>
            <w:tcW w:w="7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r>
      <w:tr>
        <w:trPr/>
        <w:tc>
          <w:tcPr>
            <w:tcW w:w="71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jc w:val="right"/>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w:t>
            </w:r>
          </w:p>
        </w:tc>
        <w:tc>
          <w:tcPr>
            <w:tcW w:w="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provided by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100"/>
              <w:jc w:val="right"/>
              <w:rPr/>
            </w:pPr>
            <w:r>
              <w:rPr/>
              <w:t> </w:t>
            </w:r>
          </w:p>
        </w:tc>
      </w:tr>
      <w:tr>
        <w:trPr/>
        <w:tc>
          <w:tcPr>
            <w:tcW w:w="71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15,420</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71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5,933</w:t>
            </w:r>
          </w:p>
        </w:tc>
        <w:tc>
          <w:tcPr>
            <w:tcW w:w="511" w:type="dxa"/>
            <w:tcBorders/>
            <w:shd w:fill="CFF0FC" w:val="clear"/>
            <w:vAlign w:val="center"/>
          </w:tcPr>
          <w:p>
            <w:pPr>
              <w:pStyle w:val="TableContents"/>
              <w:bidi w:val="0"/>
              <w:spacing w:before="0" w:after="283"/>
              <w:ind w:left="0" w:right="0" w:firstLine="100"/>
              <w:jc w:val="left"/>
              <w:rPr/>
            </w:pPr>
            <w:r>
              <w:rPr/>
              <w:t> </w:t>
            </w:r>
          </w:p>
        </w:tc>
      </w:tr>
      <w:tr>
        <w:trPr/>
        <w:tc>
          <w:tcPr>
            <w:tcW w:w="71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19,498</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71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w:t>
            </w:r>
          </w:p>
        </w:tc>
        <w:tc>
          <w:tcPr>
            <w:tcW w:w="5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71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200"/>
              <w:jc w:val="right"/>
              <w:rPr/>
            </w:pPr>
            <w:r>
              <w:rPr/>
              <w:t> </w:t>
            </w:r>
          </w:p>
        </w:tc>
      </w:tr>
      <w:tr>
        <w:trPr/>
        <w:tc>
          <w:tcPr>
            <w:tcW w:w="7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13,926</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71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(19,342</w:t>
            </w:r>
          </w:p>
        </w:tc>
        <w:tc>
          <w:tcPr>
            <w:tcW w:w="5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w:t>
            </w:r>
          </w:p>
        </w:tc>
        <w:tc>
          <w:tcPr>
            <w:tcW w:w="5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25,560</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71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 and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100"/>
              <w:jc w:val="right"/>
              <w:rPr/>
            </w:pPr>
            <w:r>
              <w:rPr/>
              <w:t> </w:t>
            </w:r>
          </w:p>
        </w:tc>
      </w:tr>
      <w:tr>
        <w:trPr/>
        <w:tc>
          <w:tcPr>
            <w:tcW w:w="71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(7,457</w:t>
            </w:r>
          </w:p>
        </w:tc>
        <w:tc>
          <w:tcPr>
            <w:tcW w:w="5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Purchase of intangible asset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71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Purchase price adjustment related to business acquisition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511" w:type="dxa"/>
            <w:tcBorders/>
            <w:shd w:fill="CFF0FC" w:val="clear"/>
            <w:vAlign w:val="center"/>
          </w:tcPr>
          <w:p>
            <w:pPr>
              <w:pStyle w:val="TableContents"/>
              <w:bidi w:val="0"/>
              <w:spacing w:before="0" w:after="283"/>
              <w:ind w:left="0" w:right="0" w:firstLine="100"/>
              <w:jc w:val="left"/>
              <w:rPr/>
            </w:pPr>
            <w:r>
              <w:rPr/>
              <w:t> </w:t>
            </w:r>
          </w:p>
        </w:tc>
      </w:tr>
      <w:tr>
        <w:trPr/>
        <w:tc>
          <w:tcPr>
            <w:tcW w:w="71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Bridge Loan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8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100"/>
              <w:jc w:val="right"/>
              <w:rPr/>
            </w:pPr>
            <w:r>
              <w:rPr/>
              <w:t> </w:t>
            </w:r>
          </w:p>
        </w:tc>
      </w:tr>
      <w:tr>
        <w:trPr/>
        <w:tc>
          <w:tcPr>
            <w:tcW w:w="71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Repayment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w:t>
            </w:r>
          </w:p>
        </w:tc>
        <w:tc>
          <w:tcPr>
            <w:tcW w:w="5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Payment of deferred and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5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Proceeds from issuance of shares through employee equity incentive plans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w:t>
            </w:r>
          </w:p>
        </w:tc>
        <w:tc>
          <w:tcPr>
            <w:tcW w:w="511" w:type="dxa"/>
            <w:tcBorders/>
            <w:shd w:fill="CFF0FC" w:val="clear"/>
            <w:vAlign w:val="center"/>
          </w:tcPr>
          <w:p>
            <w:pPr>
              <w:pStyle w:val="TableContents"/>
              <w:bidi w:val="0"/>
              <w:spacing w:before="0" w:after="283"/>
              <w:ind w:left="0" w:right="0" w:firstLine="100"/>
              <w:jc w:val="left"/>
              <w:rPr/>
            </w:pPr>
            <w:r>
              <w:rPr/>
              <w:t> </w:t>
            </w:r>
          </w:p>
        </w:tc>
      </w:tr>
      <w:tr>
        <w:trPr/>
        <w:tc>
          <w:tcPr>
            <w:tcW w:w="71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Payment of taxes related to net share settlement of equity awards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5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Dividend paid to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511" w:type="dxa"/>
            <w:tcBorders/>
            <w:shd w:fill="CFF0FC" w:val="clear"/>
            <w:vAlign w:val="center"/>
          </w:tcPr>
          <w:p>
            <w:pPr>
              <w:pStyle w:val="TableContents"/>
              <w:bidi w:val="0"/>
              <w:spacing w:before="0" w:after="283"/>
              <w:ind w:left="0" w:right="0" w:firstLine="100"/>
              <w:jc w:val="left"/>
              <w:rPr/>
            </w:pPr>
            <w:r>
              <w:rPr/>
              <w:t> </w:t>
            </w:r>
          </w:p>
        </w:tc>
      </w:tr>
      <w:tr>
        <w:trPr/>
        <w:tc>
          <w:tcPr>
            <w:tcW w:w="71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Payment of other offering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29,952</w:t>
            </w:r>
          </w:p>
        </w:tc>
        <w:tc>
          <w:tcPr>
            <w:tcW w:w="511" w:type="dxa"/>
            <w:tcBorders/>
            <w:shd w:fill="CFF0FC" w:val="cle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the beginning of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154,060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the end of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184,012</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disclosures: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100"/>
              <w:jc w:val="right"/>
              <w:rPr/>
            </w:pPr>
            <w:r>
              <w:rPr/>
              <w:t> </w:t>
            </w:r>
          </w:p>
        </w:tc>
      </w:tr>
      <w:tr>
        <w:trPr/>
        <w:tc>
          <w:tcPr>
            <w:tcW w:w="71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w:t>
            </w:r>
          </w:p>
        </w:tc>
        <w:tc>
          <w:tcPr>
            <w:tcW w:w="511" w:type="dxa"/>
            <w:tcBorders/>
            <w:shd w:fill="CFF0FC" w:val="clear"/>
            <w:vAlign w:val="center"/>
          </w:tcPr>
          <w:p>
            <w:pPr>
              <w:pStyle w:val="TableContents"/>
              <w:bidi w:val="0"/>
              <w:spacing w:before="0" w:after="283"/>
              <w:ind w:left="0" w:right="0" w:firstLine="100"/>
              <w:jc w:val="left"/>
              <w:rPr/>
            </w:pPr>
            <w:r>
              <w:rPr/>
              <w:t> </w:t>
            </w:r>
          </w:p>
        </w:tc>
      </w:tr>
      <w:tr>
        <w:trPr/>
        <w:tc>
          <w:tcPr>
            <w:tcW w:w="71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paid for income taxes,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511" w:type="dxa"/>
            <w:tcBorders/>
            <w:shd w:fill="FFFFFF" w:val="clear"/>
            <w:vAlign w:val="center"/>
          </w:tcPr>
          <w:p>
            <w:pPr>
              <w:pStyle w:val="TableContents"/>
              <w:bidi w:val="0"/>
              <w:spacing w:before="0" w:after="283"/>
              <w:jc w:val="left"/>
              <w:rPr/>
            </w:pPr>
            <w:r>
              <w:rPr/>
              <w:t> </w:t>
            </w:r>
          </w:p>
        </w:tc>
      </w:tr>
      <w:tr>
        <w:trPr/>
        <w:tc>
          <w:tcPr>
            <w:tcW w:w="71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100"/>
              <w:jc w:val="right"/>
              <w:rPr/>
            </w:pPr>
            <w:r>
              <w:rPr/>
              <w:t> </w:t>
            </w:r>
          </w:p>
        </w:tc>
      </w:tr>
      <w:tr>
        <w:trPr/>
        <w:tc>
          <w:tcPr>
            <w:tcW w:w="71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Equipment purchased and unpaid at period end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71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Right-of-use assets obtained in exchange for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5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Corsair Gaming, Inc.</w:t>
      </w:r>
    </w:p>
    <w:p>
      <w:pPr>
        <w:pStyle w:val="TextBody"/>
        <w:bidi w:val="0"/>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Corsair Gaming, Inc., a Delaware corporation, together with its subsidiaries (collectively, “Corsair” the “Company”, “we”, “us”, or “our”), is a global provider and innovator of high-performance products for gamers and digital creators, many of which build their own PCs using our components.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Corsair is organized into two reportable segments: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Gamer and Creator Peripherals</w:t>
      </w:r>
      <w:r>
        <w:rPr>
          <w:rFonts w:ascii="Times New Roman" w:hAnsi="Times New Roman"/>
          <w:color w:val="000000"/>
          <w:sz w:val="20"/>
        </w:rPr>
        <w:t>. Includes our high-performance gaming keyboards, mice, headsets, controllers, and streaming products, which includes capture cards, Stream Decks, microphones and audio interfaces, our Facecam streaming cameras, studio accessories, and gaming furniture,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Gaming Components and Systems</w:t>
      </w:r>
      <w:r>
        <w:rPr>
          <w:rFonts w:ascii="Times New Roman" w:hAnsi="Times New Roman"/>
          <w:color w:val="000000"/>
          <w:sz w:val="20"/>
        </w:rPr>
        <w:t>. Includes our high-performance power supply units, or PSUs, cooling solutions, computer cases, and DRAM modules, as well as high-end prebuilt and custom-built gaming PCs and laptops, and gaming monitors, among others.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interim condensed consolidated financial statements have been prepared in accordance with U.S. generally accepted accounting principles (“U.S. GAAP”) and applicable rules and regulations of the U.S. Securities and Exchange Commission (“SEC”) regarding interim financial reporting. The accounting policies we follow are set forth in Part II, Item 8, Note 2, “Significant Accounting Policies”, of the Notes to the Consolidated Financial Statements included in our Annual Report on Form 10K for the year ended December 31, 2023 which was filed with the SEC on February 27,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balance sheet as of December 31, 2023, included 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consolidated financial statements should be read in conjunction with our consolidated financial statements and notes thereto for the year ended December 31, 2023, included in our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interim condensed consolidated financial statements have been prepared on the same basis as the audited consolidated financial statements, and in management’s opinion, include all adjustments, which consist of only normal recurring adjustments necessary for the fair statement of our condensed consolidated balance sheet as of June 30, 2024 and our results of operations for the three and six months ended June 30, 2024 and 2023. The results for the three and six months ended June 30, 2024 are not necessarily indicative of the results expected for the current fiscal year or any other future periods.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Corsair and its subsidiaries, after the elimination of intercompany accounts and transactions. We consolidate subsidiaries in which we have a controlling interest. For the consolidated subsidiaries in which we own less than 100% of the equity, our consolidated net comprehensive income (loss) is reduced by the portion attributable to the noncontrolling interest. The ownership interest of other investors is recorded as noncontrolling interest in the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determining whether an entity is considered a controlled entity, we apply the VIE (variable interest entity) and VOE (voting interest entity) models. Entities that do not qualify as a VIE are assessed for consolidation under the VOE model. Under the VOE model, we consolidate the entity if we determine that we have a controlling financial interest in the entity through our ownership of greater than 50% of the outstanding voting shares of the entity and that other equity holders do not have substantive voting, participating or liquidation rights.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and deferred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These estimates and assumptions are based on management’s best estimates and judgment. Management evaluates its estimates and assumptions on an ongoing basis using historical experience and other factors, including the potential impacts from events in the current economic and geopolitical environment. We adjust such estimates and assumptions when facts and circumstances dictate. The extent to which the current macroeconomic conditions and the development of the geopolitical unrest will impact our business going forward depends on numerous dynamic factors that we cannot reliably predict. Actual results could differ materially from those estimates.</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Pronouncements Issued but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Financial Accounting Standards Board (“FASB”) issued ASU No. 2023-07, Segment Reporting (Topic 280): Improvement to Reportable Segment Disclosure. This ASU updates the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will be effective for annual periods beginning after December 15, 2023, and interim periods within fiscal years beginning after December 15, 2024, with early adoption permitted. Adoption of the ASU should be applied retrospectively to all prior periods presented in the financial statements. This ASU will result in additional required disclosures in our consolidated financial statements, when adopted. We are currently evaluating the provisions of this ASU and expect to adopt them for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This ASU requires disaggregated information about a reporting entity's effective tax rate reconciliation as well as additional information on income tax paid. The ASU is effective on a prospective basis for annual periods beginning after December 15, 2024, with early adoption permitted. This ASU will result in additional required disclosures in our consolidated financial statements, when adopted. We are currently evaluating the provisions of this ASU and expect to adopt them for the year ended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pStyle w:val="TextBody"/>
        <w:bidi w:val="0"/>
        <w:spacing w:before="8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—Quoted prices are available in active markets for identical assets or liabilities as of the measurement date.</w:t>
      </w:r>
    </w:p>
    <w:p>
      <w:pPr>
        <w:pStyle w:val="TextBody"/>
        <w:bidi w:val="0"/>
        <w:spacing w:before="8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—Pricing inputs are other than quoted prices in active market, which are either directly or indirectly observable as of the report date. The nature of these securities includes investments for which quoted prices are available but traded less frequently and investments that are fair valued using other securities, the parameters of which can be directly observed.</w:t>
      </w:r>
    </w:p>
    <w:p>
      <w:pPr>
        <w:pStyle w:val="TextBody"/>
        <w:bidi w:val="0"/>
        <w:spacing w:before="8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—Securities that have little to no pricing observability as of the report date. These securities are measured using management’s best estimate of fair value, where the inputs into the determination of fair value are not observable and require significant management judgment or estimation.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Fair value accounting is applied to all financial assets and liabilities that are recognized or disclosed at fair value in our condensed consolidated financial statements on a recurring basis. Our financial instruments, including cash, restricted cash, accounts receivable, accounts payable, and other liabilities and accrued expenses approximate fair value due to their short-term maturities.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financial assets and liabilities that were measured at fair value on a recurring basis consisted of foreign currency forward contracts and the fair values of these contracts, which were classified as Level 2 of the fair value hierarchy, were based on similar exchange traded derivatives and the related asset or liability. The balances of our financial assets and liabilities as of June 30, 2024 and December 31, 2023 were not material.</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Derivative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enter into derivative instruments such as foreign currency forward contracts, to minimize the short-term impact of foreign currency exchange rate fluctuations on certain foreign currency denominated assets and liabilities. The derivative instruments are recorded at fair value in prepaid expenses and other current assets or other liabilities and accrued expenses on the condensed consolidated balance sheets. We do not designate such instruments as hedges for accounting purposes; accordingly, changes in the value of these contracts are recognized in each reporting period in other (expense) income, net in the condensed consolidated statements of operations. We do not enter into derivative instruments for trading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foreign currency forward contracts generally mature within two to four months. The notional principal amount of outstanding foreign exchange forward contracts was $22.0 million and $44.3 million as of June 30, 2024 and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respectively. The net fair value gains (losses) recognized in other expense, net in relation to these derivative instruments was $(18) thousand and $(0.2) million for the three months ended June 30, 2024 and 2023, respectively, and was $0.6 million and $(0.6) million for the six months ended June 30, 2024 and 2023,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Business Combinations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Drop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14, 2023 (the “Acquisition Date”), we completed the acquisition of the assets and business of Massdrop Inc. (“Drop”), including the assumption of trade payables and certain accrued liabilities (the “Drop Acquisition”) for a cash purchase consideration of approximately $14.2 million, net of $0.6 million of cash acquired. On January 29, 2024, in connection with a joint release letter executed between us and Drop's seller, we received a refund of $1.0 million from escrow funds in relation to a purchase price adjustment for net working capital. With this refund, total purchase consideration, net of cash acquired, decreased to $13.2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Drop, a community-based e-commerce company was headquartered in San Francisco, California, and specialized in customized DIY keyboards and keycaps. We expect this acquisition to give Corsair a leading presence in the personalized keyboards market which is one of the fastest growing trends in the gaming peripherals space as well as allow us to offer specialized Corsair and Elgato products to the enthusiast community that Drop is engaged with. Drop’s results of operations are included in our condensed consolidated statements of operations with effect from July 14,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Drop Acquisition was accounted for as a business combination under the acquisition method of accounting. The final allocation of the Drop Acquisition purchase consideration to the estimated fair value of the assets acquired and liabilities assumed, inclusive of immaterial measurement period adjustments, was as follows (in thousands):</w:t>
      </w:r>
    </w:p>
    <w:tbl>
      <w:tblPr>
        <w:tblW w:w="5150" w:type="dxa"/>
        <w:jc w:val="left"/>
        <w:tblInd w:w="0" w:type="dxa"/>
        <w:tblLayout w:type="fixed"/>
        <w:tblCellMar>
          <w:top w:w="28" w:type="dxa"/>
          <w:left w:w="28" w:type="dxa"/>
          <w:bottom w:w="28" w:type="dxa"/>
          <w:right w:w="28" w:type="dxa"/>
        </w:tblCellMar>
      </w:tblPr>
      <w:tblGrid>
        <w:gridCol w:w="3806"/>
        <w:gridCol w:w="146"/>
        <w:gridCol w:w="211"/>
        <w:gridCol w:w="676"/>
        <w:gridCol w:w="311"/>
      </w:tblGrid>
      <w:tr>
        <w:trPr/>
        <w:tc>
          <w:tcPr>
            <w:tcW w:w="3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11" w:type="dxa"/>
            <w:tcBorders/>
            <w:shd w:fill="CFF0FC" w:val="clear"/>
            <w:vAlign w:val="center"/>
          </w:tcPr>
          <w:p>
            <w:pPr>
              <w:pStyle w:val="TableContents"/>
              <w:bidi w:val="0"/>
              <w:spacing w:before="0" w:after="283"/>
              <w:jc w:val="left"/>
              <w:rPr/>
            </w:pPr>
            <w:r>
              <w:rPr/>
              <w:t> </w:t>
            </w:r>
          </w:p>
        </w:tc>
      </w:tr>
      <w:tr>
        <w:trPr/>
        <w:tc>
          <w:tcPr>
            <w:tcW w:w="3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7,739</w:t>
            </w:r>
          </w:p>
        </w:tc>
        <w:tc>
          <w:tcPr>
            <w:tcW w:w="311" w:type="dxa"/>
            <w:tcBorders/>
            <w:shd w:fill="FFFFFF" w:val="clear"/>
            <w:vAlign w:val="center"/>
          </w:tcPr>
          <w:p>
            <w:pPr>
              <w:pStyle w:val="TableContents"/>
              <w:bidi w:val="0"/>
              <w:spacing w:before="0" w:after="283"/>
              <w:jc w:val="left"/>
              <w:rPr/>
            </w:pPr>
            <w:r>
              <w:rPr/>
              <w:t> </w:t>
            </w:r>
          </w:p>
        </w:tc>
      </w:tr>
      <w:tr>
        <w:trPr/>
        <w:tc>
          <w:tcPr>
            <w:tcW w:w="3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311" w:type="dxa"/>
            <w:tcBorders/>
            <w:shd w:fill="CFF0FC" w:val="clear"/>
            <w:vAlign w:val="center"/>
          </w:tcPr>
          <w:p>
            <w:pPr>
              <w:pStyle w:val="TableContents"/>
              <w:bidi w:val="0"/>
              <w:spacing w:before="0" w:after="283"/>
              <w:jc w:val="left"/>
              <w:rPr/>
            </w:pPr>
            <w:r>
              <w:rPr/>
              <w:t> </w:t>
            </w:r>
          </w:p>
        </w:tc>
      </w:tr>
      <w:tr>
        <w:trPr/>
        <w:tc>
          <w:tcPr>
            <w:tcW w:w="3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11" w:type="dxa"/>
            <w:tcBorders/>
            <w:shd w:fill="FFFFFF" w:val="clear"/>
            <w:vAlign w:val="center"/>
          </w:tcPr>
          <w:p>
            <w:pPr>
              <w:pStyle w:val="TableContents"/>
              <w:bidi w:val="0"/>
              <w:spacing w:before="0" w:after="283"/>
              <w:jc w:val="left"/>
              <w:rPr/>
            </w:pPr>
            <w:r>
              <w:rPr/>
              <w:t> </w:t>
            </w:r>
          </w:p>
        </w:tc>
      </w:tr>
      <w:tr>
        <w:trPr/>
        <w:tc>
          <w:tcPr>
            <w:tcW w:w="3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w:t>
            </w:r>
          </w:p>
        </w:tc>
        <w:tc>
          <w:tcPr>
            <w:tcW w:w="311" w:type="dxa"/>
            <w:tcBorders/>
            <w:shd w:fill="CFF0FC" w:val="clear"/>
            <w:vAlign w:val="center"/>
          </w:tcPr>
          <w:p>
            <w:pPr>
              <w:pStyle w:val="TableContents"/>
              <w:bidi w:val="0"/>
              <w:spacing w:before="0" w:after="283"/>
              <w:jc w:val="left"/>
              <w:rPr/>
            </w:pPr>
            <w:r>
              <w:rPr/>
              <w:t> </w:t>
            </w:r>
          </w:p>
        </w:tc>
      </w:tr>
      <w:tr>
        <w:trPr/>
        <w:tc>
          <w:tcPr>
            <w:tcW w:w="3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w:t>
            </w:r>
          </w:p>
        </w:tc>
        <w:tc>
          <w:tcPr>
            <w:tcW w:w="311" w:type="dxa"/>
            <w:tcBorders/>
            <w:shd w:fill="FFFFFF" w:val="clear"/>
            <w:vAlign w:val="center"/>
          </w:tcPr>
          <w:p>
            <w:pPr>
              <w:pStyle w:val="TableContents"/>
              <w:bidi w:val="0"/>
              <w:spacing w:before="0" w:after="283"/>
              <w:jc w:val="left"/>
              <w:rPr/>
            </w:pPr>
            <w:r>
              <w:rPr/>
              <w:t> </w:t>
            </w:r>
          </w:p>
        </w:tc>
      </w:tr>
      <w:tr>
        <w:trPr/>
        <w:tc>
          <w:tcPr>
            <w:tcW w:w="3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(7,064</w:t>
            </w:r>
          </w:p>
        </w:tc>
        <w:tc>
          <w:tcPr>
            <w:tcW w:w="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Purchase consideration, net of cash acquired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certain working capital related items, including accounts receivable, prepaid and other assets, accounts payable and accrued liabilities, as well as the fair value of property and equipment approximated their book values at the Acquisition Date. The fair value of the inventories was estimated by major category, at net realizable value, which we believe approximates the price a market participant could achieve in a current sale. The difference between the fair value of the inventories and the book value recorded on the Acquisition Date was $2.0 million, of which we recognized $0.2 million, $0.4 million and $1.5 million in cost of revenue in the condensed consolidated statements of operations for the three and six months ended June 30, 2024 and for the year ended December 31, 2023, respectively, upon the sale of the acquired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goodwill of $6.0 million represents the expansion of our market presence by utilizing Drop's strength in direct consumer reach as well as the ability to expand the customizable keyboard and keycap market. The goodwill is deductible for tax purposes and is assigned to our Gaming Peripherals reporting unit.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$9.2 million identifiable intangible assets acquired include developed technology of $5.2 million, trade name of $2.3 million and domain name of $1.7 million. The fair values of the identified intangible assets were estimated primarily using the income approach and were based on inputs that are not observable in the market which we consider to be Level 3 inputs. These intangible assets are being amortized over their estimated useful lives, ranging from 5 to 15 years, using the straight-line method of amortization. The identifiable intangible assets acquired are deductible for tax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acquisition-related costs incurred in the six months ended June 30, 2024 and 2023 were not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10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Goodwill and Intangible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changes in the carrying amount of goodwill by reportable segment (in thousands):</w:t>
      </w:r>
    </w:p>
    <w:tbl>
      <w:tblPr>
        <w:tblW w:w="8007" w:type="dxa"/>
        <w:jc w:val="left"/>
        <w:tblInd w:w="0" w:type="dxa"/>
        <w:tblLayout w:type="fixed"/>
        <w:tblCellMar>
          <w:top w:w="28" w:type="dxa"/>
          <w:left w:w="28" w:type="dxa"/>
          <w:bottom w:w="28" w:type="dxa"/>
          <w:right w:w="28" w:type="dxa"/>
        </w:tblCellMar>
      </w:tblPr>
      <w:tblGrid>
        <w:gridCol w:w="3536"/>
        <w:gridCol w:w="146"/>
        <w:gridCol w:w="213"/>
        <w:gridCol w:w="793"/>
        <w:gridCol w:w="266"/>
        <w:gridCol w:w="246"/>
        <w:gridCol w:w="211"/>
        <w:gridCol w:w="781"/>
        <w:gridCol w:w="266"/>
        <w:gridCol w:w="246"/>
        <w:gridCol w:w="211"/>
        <w:gridCol w:w="781"/>
        <w:gridCol w:w="311"/>
      </w:tblGrid>
      <w:tr>
        <w:trPr/>
        <w:tc>
          <w:tcPr>
            <w:tcW w:w="3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Gaming</w:t>
              <w:br/>
              <w:t>Components</w:t>
              <w:br/>
              <w:t>and</w:t>
              <w:br/>
              <w:t>Systems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Gamer and</w:t>
              <w:br/>
              <w:t>Creator</w:t>
              <w:br/>
              <w:t>Peripherals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148,936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205,769</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354,705</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5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Measurement period adjustments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color w:val="000000"/>
              </w:rPr>
            </w:pPr>
            <w:r>
              <w:rPr>
                <w:color w:val="000000"/>
              </w:rPr>
              <w:t>—</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Effect of foreign currency exchange rates</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2024</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148,891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205,503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354,394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Intangible assets,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is a summary of intangible assets, net (in thousands):</w:t>
      </w:r>
    </w:p>
    <w:tbl>
      <w:tblPr>
        <w:tblW w:w="10205" w:type="dxa"/>
        <w:jc w:val="left"/>
        <w:tblInd w:w="0" w:type="dxa"/>
        <w:tblLayout w:type="fixed"/>
        <w:tblCellMar>
          <w:top w:w="28" w:type="dxa"/>
          <w:left w:w="28" w:type="dxa"/>
          <w:bottom w:w="28" w:type="dxa"/>
          <w:right w:w="28" w:type="dxa"/>
        </w:tblCellMar>
      </w:tblPr>
      <w:tblGrid>
        <w:gridCol w:w="2224"/>
        <w:gridCol w:w="211"/>
        <w:gridCol w:w="781"/>
        <w:gridCol w:w="146"/>
        <w:gridCol w:w="146"/>
        <w:gridCol w:w="229"/>
        <w:gridCol w:w="852"/>
        <w:gridCol w:w="146"/>
        <w:gridCol w:w="146"/>
        <w:gridCol w:w="211"/>
        <w:gridCol w:w="781"/>
        <w:gridCol w:w="146"/>
        <w:gridCol w:w="146"/>
        <w:gridCol w:w="211"/>
        <w:gridCol w:w="781"/>
        <w:gridCol w:w="146"/>
        <w:gridCol w:w="146"/>
        <w:gridCol w:w="229"/>
        <w:gridCol w:w="852"/>
        <w:gridCol w:w="146"/>
        <w:gridCol w:w="146"/>
        <w:gridCol w:w="211"/>
        <w:gridCol w:w="781"/>
        <w:gridCol w:w="391"/>
      </w:tblGrid>
      <w:tr>
        <w:trPr/>
        <w:tc>
          <w:tcPr>
            <w:tcW w:w="2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4" w:type="dxa"/>
            <w:tcBorders/>
            <w:shd w:fill="FFFFFF" w:val="clear"/>
            <w:vAlign w:val="center"/>
          </w:tcPr>
          <w:p>
            <w:pPr>
              <w:pStyle w:val="TableContents"/>
              <w:bidi w:val="0"/>
              <w:spacing w:before="0" w:after="283"/>
              <w:jc w:val="left"/>
              <w:rPr/>
            </w:pPr>
            <w:r>
              <w:rPr/>
              <w:t> </w:t>
            </w:r>
          </w:p>
        </w:tc>
        <w:tc>
          <w:tcPr>
            <w:tcW w:w="36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4"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4"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26,015</w:t>
            </w:r>
          </w:p>
        </w:tc>
        <w:tc>
          <w:tcPr>
            <w:tcW w:w="391" w:type="dxa"/>
            <w:tcBorders/>
            <w:shd w:fill="CFF0FC" w:val="clear"/>
            <w:vAlign w:val="center"/>
          </w:tcPr>
          <w:p>
            <w:pPr>
              <w:pStyle w:val="TableContents"/>
              <w:bidi w:val="0"/>
              <w:spacing w:before="0" w:after="283"/>
              <w:jc w:val="left"/>
              <w:rPr/>
            </w:pPr>
            <w:r>
              <w:rPr/>
              <w:t> </w:t>
            </w:r>
          </w:p>
        </w:tc>
      </w:tr>
      <w:tr>
        <w:trPr/>
        <w:tc>
          <w:tcPr>
            <w:tcW w:w="2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25,054</w:t>
            </w:r>
          </w:p>
        </w:tc>
        <w:tc>
          <w:tcPr>
            <w:tcW w:w="391" w:type="dxa"/>
            <w:tcBorders/>
            <w:shd w:fill="FFFFFF" w:val="clear"/>
            <w:vAlign w:val="center"/>
          </w:tcPr>
          <w:p>
            <w:pPr>
              <w:pStyle w:val="TableContents"/>
              <w:bidi w:val="0"/>
              <w:spacing w:before="0" w:after="283"/>
              <w:jc w:val="left"/>
              <w:rPr/>
            </w:pPr>
            <w:r>
              <w:rPr/>
              <w:t> </w:t>
            </w:r>
          </w:p>
        </w:tc>
      </w:tr>
      <w:tr>
        <w:trPr/>
        <w:tc>
          <w:tcPr>
            <w:tcW w:w="2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79,653</w:t>
            </w:r>
          </w:p>
        </w:tc>
        <w:tc>
          <w:tcPr>
            <w:tcW w:w="391" w:type="dxa"/>
            <w:tcBorders/>
            <w:shd w:fill="CFF0FC" w:val="clear"/>
            <w:vAlign w:val="center"/>
          </w:tcPr>
          <w:p>
            <w:pPr>
              <w:pStyle w:val="TableContents"/>
              <w:bidi w:val="0"/>
              <w:spacing w:before="0" w:after="283"/>
              <w:jc w:val="left"/>
              <w:rPr/>
            </w:pPr>
            <w:r>
              <w:rPr/>
              <w:t> </w:t>
            </w:r>
          </w:p>
        </w:tc>
      </w:tr>
      <w:tr>
        <w:trPr/>
        <w:tc>
          <w:tcPr>
            <w:tcW w:w="2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portfolio</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w:t>
            </w:r>
          </w:p>
        </w:tc>
        <w:tc>
          <w:tcPr>
            <w:tcW w:w="391" w:type="dxa"/>
            <w:tcBorders/>
            <w:shd w:fill="FFFFFF" w:val="clear"/>
            <w:vAlign w:val="center"/>
          </w:tcPr>
          <w:p>
            <w:pPr>
              <w:pStyle w:val="TableContents"/>
              <w:bidi w:val="0"/>
              <w:spacing w:before="0" w:after="283"/>
              <w:jc w:val="left"/>
              <w:rPr/>
            </w:pPr>
            <w:r>
              <w:rPr/>
              <w:t> </w:t>
            </w:r>
          </w:p>
        </w:tc>
      </w:tr>
      <w:tr>
        <w:trPr/>
        <w:tc>
          <w:tcPr>
            <w:tcW w:w="2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relationships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finite-life intangibles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152,563</w:t>
            </w:r>
          </w:p>
        </w:tc>
        <w:tc>
          <w:tcPr>
            <w:tcW w:w="391" w:type="dxa"/>
            <w:tcBorders/>
            <w:shd w:fill="FFFFFF" w:val="clear"/>
            <w:vAlign w:val="center"/>
          </w:tcPr>
          <w:p>
            <w:pPr>
              <w:pStyle w:val="TableContents"/>
              <w:bidi w:val="0"/>
              <w:spacing w:before="0" w:after="283"/>
              <w:jc w:val="left"/>
              <w:rPr/>
            </w:pPr>
            <w:r>
              <w:rPr/>
              <w:t> </w:t>
            </w:r>
          </w:p>
        </w:tc>
      </w:tr>
      <w:tr>
        <w:trPr/>
        <w:tc>
          <w:tcPr>
            <w:tcW w:w="2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 life trade name</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35,430</w:t>
            </w:r>
          </w:p>
        </w:tc>
        <w:tc>
          <w:tcPr>
            <w:tcW w:w="391" w:type="dxa"/>
            <w:tcBorders/>
            <w:shd w:fill="CFF0FC" w:val="clear"/>
            <w:vAlign w:val="center"/>
          </w:tcPr>
          <w:p>
            <w:pPr>
              <w:pStyle w:val="TableContents"/>
              <w:bidi w:val="0"/>
              <w:spacing w:before="0" w:after="283"/>
              <w:jc w:val="left"/>
              <w:rPr/>
            </w:pPr>
            <w:r>
              <w:rPr/>
              <w:t> </w:t>
            </w:r>
          </w:p>
        </w:tc>
      </w:tr>
      <w:tr>
        <w:trPr/>
        <w:tc>
          <w:tcPr>
            <w:tcW w:w="2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intangible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year when an identified intangible asset becomes fully amortized, the fully amortized balances from the gross asset and accumulated amortization amounts are removed from the table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future amortization expense of intangible assets as of June 30, 2024 is as follows (in thousands):</w:t>
      </w:r>
    </w:p>
    <w:tbl>
      <w:tblPr>
        <w:tblW w:w="3210" w:type="dxa"/>
        <w:jc w:val="left"/>
        <w:tblInd w:w="0" w:type="dxa"/>
        <w:tblLayout w:type="fixed"/>
        <w:tblCellMar>
          <w:top w:w="28" w:type="dxa"/>
          <w:left w:w="28" w:type="dxa"/>
          <w:bottom w:w="28" w:type="dxa"/>
          <w:right w:w="28" w:type="dxa"/>
        </w:tblCellMar>
      </w:tblPr>
      <w:tblGrid>
        <w:gridCol w:w="1681"/>
        <w:gridCol w:w="146"/>
        <w:gridCol w:w="211"/>
        <w:gridCol w:w="78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18,983</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37,616</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34,311</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24,654</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Balance Sheet Components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tables present the components of certain balance sheet amounts (in thousands):</w:t>
      </w:r>
    </w:p>
    <w:p>
      <w:pPr>
        <w:pStyle w:val="TextBody"/>
        <w:bidi w:val="0"/>
        <w:jc w:val="left"/>
        <w:rPr/>
      </w:pPr>
      <w:r>
        <w:rPr/>
        <w:t> </w:t>
      </w:r>
    </w:p>
    <w:tbl>
      <w:tblPr>
        <w:tblW w:w="5517" w:type="dxa"/>
        <w:jc w:val="left"/>
        <w:tblInd w:w="0" w:type="dxa"/>
        <w:tblLayout w:type="fixed"/>
        <w:tblCellMar>
          <w:top w:w="28" w:type="dxa"/>
          <w:left w:w="28" w:type="dxa"/>
          <w:bottom w:w="28" w:type="dxa"/>
          <w:right w:w="28" w:type="dxa"/>
        </w:tblCellMar>
      </w:tblPr>
      <w:tblGrid>
        <w:gridCol w:w="2706"/>
        <w:gridCol w:w="146"/>
        <w:gridCol w:w="211"/>
        <w:gridCol w:w="676"/>
        <w:gridCol w:w="146"/>
        <w:gridCol w:w="146"/>
        <w:gridCol w:w="233"/>
        <w:gridCol w:w="862"/>
        <w:gridCol w:w="391"/>
      </w:tblGrid>
      <w:tr>
        <w:trPr/>
        <w:tc>
          <w:tcPr>
            <w:tcW w:w="2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175,620</w:t>
            </w:r>
          </w:p>
        </w:tc>
        <w:tc>
          <w:tcPr>
            <w:tcW w:w="391" w:type="dxa"/>
            <w:tcBorders/>
            <w:shd w:fill="CFF0FC" w:val="clear"/>
            <w:vAlign w:val="center"/>
          </w:tcPr>
          <w:p>
            <w:pPr>
              <w:pStyle w:val="TableContents"/>
              <w:bidi w:val="0"/>
              <w:spacing w:before="0" w:after="283"/>
              <w:jc w:val="left"/>
              <w:rPr/>
            </w:pPr>
            <w:r>
              <w:rPr/>
              <w:t> </w:t>
            </w:r>
          </w:p>
        </w:tc>
      </w:tr>
      <w:tr>
        <w:trPr/>
        <w:tc>
          <w:tcPr>
            <w:tcW w:w="2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cash—short term</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w:t>
            </w:r>
          </w:p>
        </w:tc>
        <w:tc>
          <w:tcPr>
            <w:tcW w:w="391" w:type="dxa"/>
            <w:tcBorders/>
            <w:shd w:fill="FFFFFF" w:val="clear"/>
            <w:vAlign w:val="center"/>
          </w:tcPr>
          <w:p>
            <w:pPr>
              <w:pStyle w:val="TableContents"/>
              <w:bidi w:val="0"/>
              <w:spacing w:before="0" w:after="283"/>
              <w:jc w:val="left"/>
              <w:rPr/>
            </w:pPr>
            <w:r>
              <w:rPr/>
              <w:t> </w:t>
            </w:r>
          </w:p>
        </w:tc>
      </w:tr>
      <w:tr>
        <w:trPr/>
        <w:tc>
          <w:tcPr>
            <w:tcW w:w="2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cash—noncurrent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cash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11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5732" w:type="dxa"/>
        <w:jc w:val="left"/>
        <w:tblInd w:w="0" w:type="dxa"/>
        <w:tblLayout w:type="fixed"/>
        <w:tblCellMar>
          <w:top w:w="28" w:type="dxa"/>
          <w:left w:w="28" w:type="dxa"/>
          <w:bottom w:w="28" w:type="dxa"/>
          <w:right w:w="28" w:type="dxa"/>
        </w:tblCellMar>
      </w:tblPr>
      <w:tblGrid>
        <w:gridCol w:w="2776"/>
        <w:gridCol w:w="146"/>
        <w:gridCol w:w="211"/>
        <w:gridCol w:w="781"/>
        <w:gridCol w:w="166"/>
        <w:gridCol w:w="146"/>
        <w:gridCol w:w="233"/>
        <w:gridCol w:w="862"/>
        <w:gridCol w:w="4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254,433</w:t>
            </w:r>
          </w:p>
        </w:tc>
        <w:tc>
          <w:tcPr>
            <w:tcW w:w="41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Bridge Loan receivable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from Factor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41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Accounts receivable, net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253,268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sz w:val="20"/>
        </w:rPr>
      </w:pPr>
      <w:r>
        <w:rPr>
          <w:rFonts w:ascii="Times New Roman" w:hAnsi="Times New Roman"/>
          <w:color w:val="000000"/>
          <w:sz w:val="19"/>
        </w:rPr>
        <w:t>On May 15, 2024, one of our fully consolidated subsidiaries, Corsair Components Ltd (“CCL”) agreed to provide short-term financing to Endor AG, a German public company (“Endor”), in the form of a bridge loan (the “Bridge Loan”) for up to EUR 30</w:t>
      </w:r>
      <w:r>
        <w:rPr>
          <w:rFonts w:ascii="Times New Roman" w:hAnsi="Times New Roman"/>
          <w:color w:val="000000"/>
          <w:sz w:val="20"/>
        </w:rPr>
        <w:t xml:space="preserve"> </w:t>
      </w:r>
      <w:r>
        <w:rPr>
          <w:rFonts w:ascii="Times New Roman" w:hAnsi="Times New Roman"/>
          <w:color w:val="000000"/>
          <w:sz w:val="19"/>
        </w:rPr>
        <w:t>million pursuant to a bridge loan agreement between Endor and CCL (the “Bridge Loan Agreement”). The Bridge Loan bears interest at 15% per annum and it is collateralized by rights to the patents and trademarks, as well as existing and future inventories owned by Endor and its U.S. subsidiary at certain specified locations. As of June 30, 2024, CCL had disbursed EUR 11.5</w:t>
      </w:r>
      <w:r>
        <w:rPr>
          <w:rFonts w:ascii="Times New Roman" w:hAnsi="Times New Roman"/>
          <w:color w:val="000000"/>
          <w:sz w:val="20"/>
        </w:rPr>
        <w:t xml:space="preserve"> </w:t>
      </w:r>
      <w:r>
        <w:rPr>
          <w:rFonts w:ascii="Times New Roman" w:hAnsi="Times New Roman"/>
          <w:color w:val="000000"/>
          <w:sz w:val="19"/>
        </w:rPr>
        <w:t>million to Endor under the Bridge Loan, with another EUR 1.0</w:t>
      </w:r>
      <w:r>
        <w:rPr>
          <w:rFonts w:ascii="Times New Roman" w:hAnsi="Times New Roman"/>
          <w:color w:val="000000"/>
          <w:sz w:val="20"/>
        </w:rPr>
        <w:t xml:space="preserve"> </w:t>
      </w:r>
      <w:r>
        <w:rPr>
          <w:rFonts w:ascii="Times New Roman" w:hAnsi="Times New Roman"/>
          <w:color w:val="000000"/>
          <w:sz w:val="19"/>
        </w:rPr>
        <w:t>million disbursed in July 2024.</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Endor owns the Fanatec brand, and is a leading manufacturer of sim racing hardware. The Bridge Loan Agreement was entered into in connection with a Letter of Intent (the “LOI”) executed on the same day with Endor for a potential acquisition of Endor. As of the date of this filing, the LOI has expired and on July 30, 2024, Endor announced it has filed for the German insolvency proceedings (the “Insolvency Proceedings”) and has commenced work on the various steps involved in the Insolvency Proceedings. Per terms of the Bridge Loan Agreement, CCL has no obligation to disburse any more funds under the Bridge Loan Agreement on the expiration of the LOI and Endor's insolvency filing. Once Endor’s Insolvency Plan is approved by the German Court, we expect the outstanding amount of the Bridge Loan receivable, including the accrued interest to be repaid to CCL. We expect the Insolvency Proceedings to be completed within six months from their commencement date.</w:t>
      </w:r>
    </w:p>
    <w:p>
      <w:pPr>
        <w:pStyle w:val="TextBody"/>
        <w:bidi w:val="0"/>
        <w:spacing w:before="120" w:after="283"/>
        <w:jc w:val="left"/>
        <w:rPr>
          <w:rFonts w:ascii="Times New Roman" w:hAnsi="Times New Roman"/>
          <w:sz w:val="20"/>
        </w:rPr>
      </w:pPr>
      <w:r>
        <w:rPr>
          <w:rFonts w:ascii="Times New Roman" w:hAnsi="Times New Roman"/>
          <w:color w:val="000000"/>
          <w:sz w:val="19"/>
        </w:rPr>
        <w:t>The Bridge Loan receivable was carried at amortized costs of $12.8</w:t>
      </w:r>
      <w:r>
        <w:rPr>
          <w:rFonts w:ascii="Times New Roman" w:hAnsi="Times New Roman"/>
          <w:color w:val="000000"/>
          <w:sz w:val="20"/>
        </w:rPr>
        <w:t xml:space="preserve"> </w:t>
      </w:r>
      <w:r>
        <w:rPr>
          <w:rFonts w:ascii="Times New Roman" w:hAnsi="Times New Roman"/>
          <w:color w:val="000000"/>
          <w:sz w:val="19"/>
        </w:rPr>
        <w:t>million, including $12.3</w:t>
      </w:r>
      <w:r>
        <w:rPr>
          <w:rFonts w:ascii="Times New Roman" w:hAnsi="Times New Roman"/>
          <w:color w:val="000000"/>
          <w:sz w:val="20"/>
        </w:rPr>
        <w:t xml:space="preserve"> </w:t>
      </w:r>
      <w:r>
        <w:rPr>
          <w:rFonts w:ascii="Times New Roman" w:hAnsi="Times New Roman"/>
          <w:color w:val="000000"/>
          <w:sz w:val="19"/>
        </w:rPr>
        <w:t>million of principal balance, $0.1</w:t>
      </w:r>
      <w:r>
        <w:rPr>
          <w:rFonts w:ascii="Times New Roman" w:hAnsi="Times New Roman"/>
          <w:color w:val="000000"/>
          <w:sz w:val="20"/>
        </w:rPr>
        <w:t xml:space="preserve"> </w:t>
      </w:r>
      <w:r>
        <w:rPr>
          <w:rFonts w:ascii="Times New Roman" w:hAnsi="Times New Roman"/>
          <w:color w:val="000000"/>
          <w:sz w:val="19"/>
        </w:rPr>
        <w:t>million of accrued interest and $0.4</w:t>
      </w:r>
      <w:r>
        <w:rPr>
          <w:rFonts w:ascii="Times New Roman" w:hAnsi="Times New Roman"/>
          <w:color w:val="000000"/>
          <w:sz w:val="20"/>
        </w:rPr>
        <w:t xml:space="preserve"> </w:t>
      </w:r>
      <w:r>
        <w:rPr>
          <w:rFonts w:ascii="Times New Roman" w:hAnsi="Times New Roman"/>
          <w:color w:val="000000"/>
          <w:sz w:val="19"/>
        </w:rPr>
        <w:t>million of deferred loan origination costs as of June 30, 2024. The amortized cost of the Bridge Loan receivable approximates its fair value and is recorded within accounts receivable, net, on condensed consolidated balance sheet. Interest income is recorded on an accrual basis at the stated interest rate and is recorded in interest income in our condensed consolidated statements of operations. As a collateral-dependent financial asset, the current expected credit loss on the Bridge Loan receivable is determined based on the fair value of the collateral, and the estimated fair value exceeded the carrying value of the Bridge Loan receivable as of June 30, 2024 and as such, no</w:t>
      </w:r>
      <w:r>
        <w:rPr>
          <w:rFonts w:ascii="Times New Roman" w:hAnsi="Times New Roman"/>
          <w:color w:val="000000"/>
          <w:sz w:val="20"/>
        </w:rPr>
        <w:t xml:space="preserve"> </w:t>
      </w:r>
      <w:r>
        <w:rPr>
          <w:rFonts w:ascii="Times New Roman" w:hAnsi="Times New Roman"/>
          <w:color w:val="000000"/>
          <w:sz w:val="19"/>
        </w:rPr>
        <w:t>credit allowance was recorded as of June 30, 2024. The Bridge Loan receivable is classified as a Level 3 financial instrument.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sz w:val="20"/>
        </w:rPr>
      </w:pPr>
      <w:r>
        <w:rPr>
          <w:rFonts w:ascii="Times New Roman" w:hAnsi="Times New Roman"/>
          <w:color w:val="000000"/>
          <w:sz w:val="19"/>
        </w:rPr>
        <w:t>As of June 30, 2024, two</w:t>
      </w:r>
      <w:r>
        <w:rPr>
          <w:rFonts w:ascii="Times New Roman" w:hAnsi="Times New Roman"/>
          <w:color w:val="000000"/>
          <w:sz w:val="20"/>
        </w:rPr>
        <w:t xml:space="preserve"> </w:t>
      </w:r>
      <w:r>
        <w:rPr>
          <w:rFonts w:ascii="Times New Roman" w:hAnsi="Times New Roman"/>
          <w:color w:val="000000"/>
          <w:sz w:val="19"/>
        </w:rPr>
        <w:t>customers represented 42.0% and 13.5% of our accounts receivable, net balance, respectively. As of December 31, 2023, two</w:t>
      </w:r>
      <w:r>
        <w:rPr>
          <w:rFonts w:ascii="Times New Roman" w:hAnsi="Times New Roman"/>
          <w:color w:val="000000"/>
          <w:sz w:val="20"/>
        </w:rPr>
        <w:t xml:space="preserve"> </w:t>
      </w:r>
      <w:r>
        <w:rPr>
          <w:rFonts w:ascii="Times New Roman" w:hAnsi="Times New Roman"/>
          <w:color w:val="000000"/>
          <w:sz w:val="19"/>
        </w:rPr>
        <w:t>customers represented 42.9% and 18.5% of our accounts receivable, net balance, respectively.</w:t>
      </w:r>
    </w:p>
    <w:p>
      <w:pPr>
        <w:pStyle w:val="TextBody"/>
        <w:bidi w:val="0"/>
        <w:jc w:val="left"/>
        <w:rPr/>
      </w:pPr>
      <w:r>
        <w:rPr/>
        <w:t> </w:t>
      </w:r>
    </w:p>
    <w:tbl>
      <w:tblPr>
        <w:tblW w:w="4417" w:type="dxa"/>
        <w:jc w:val="left"/>
        <w:tblInd w:w="0" w:type="dxa"/>
        <w:tblLayout w:type="fixed"/>
        <w:tblCellMar>
          <w:top w:w="28" w:type="dxa"/>
          <w:left w:w="28" w:type="dxa"/>
          <w:bottom w:w="28" w:type="dxa"/>
          <w:right w:w="28" w:type="dxa"/>
        </w:tblCellMar>
      </w:tblPr>
      <w:tblGrid>
        <w:gridCol w:w="1501"/>
        <w:gridCol w:w="146"/>
        <w:gridCol w:w="211"/>
        <w:gridCol w:w="781"/>
        <w:gridCol w:w="146"/>
        <w:gridCol w:w="146"/>
        <w:gridCol w:w="233"/>
        <w:gridCol w:w="862"/>
        <w:gridCol w:w="39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64,576</w:t>
            </w:r>
          </w:p>
        </w:tc>
        <w:tc>
          <w:tcPr>
            <w:tcW w:w="391" w:type="dxa"/>
            <w:tcBorders/>
            <w:shd w:fill="CFF0FC" w:val="clear"/>
            <w:vAlign w:val="center"/>
          </w:tcPr>
          <w:p>
            <w:pPr>
              <w:pStyle w:val="TableContents"/>
              <w:bidi w:val="0"/>
              <w:spacing w:before="0" w:after="283"/>
              <w:jc w:val="left"/>
              <w:rPr/>
            </w:pPr>
            <w:r>
              <w:rPr/>
              <w:t> </w:t>
            </w:r>
          </w:p>
        </w:tc>
      </w:tr>
      <w:tr>
        <w:trPr/>
        <w:tc>
          <w:tcPr>
            <w:tcW w:w="1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w:t>
            </w:r>
          </w:p>
        </w:tc>
        <w:tc>
          <w:tcPr>
            <w:tcW w:w="391" w:type="dxa"/>
            <w:tcBorders/>
            <w:shd w:fill="FFFFFF" w:val="clear"/>
            <w:vAlign w:val="center"/>
          </w:tcPr>
          <w:p>
            <w:pPr>
              <w:pStyle w:val="TableContents"/>
              <w:bidi w:val="0"/>
              <w:spacing w:before="0" w:after="283"/>
              <w:jc w:val="left"/>
              <w:rPr/>
            </w:pPr>
            <w:r>
              <w:rPr/>
              <w:t> </w:t>
            </w:r>
          </w:p>
        </w:tc>
      </w:tr>
      <w:tr>
        <w:trPr/>
        <w:tc>
          <w:tcPr>
            <w:tcW w:w="1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92" w:type="dxa"/>
        <w:jc w:val="left"/>
        <w:tblInd w:w="0" w:type="dxa"/>
        <w:tblLayout w:type="fixed"/>
        <w:tblCellMar>
          <w:top w:w="28" w:type="dxa"/>
          <w:left w:w="28" w:type="dxa"/>
          <w:bottom w:w="28" w:type="dxa"/>
          <w:right w:w="28" w:type="dxa"/>
        </w:tblCellMar>
      </w:tblPr>
      <w:tblGrid>
        <w:gridCol w:w="4381"/>
        <w:gridCol w:w="146"/>
        <w:gridCol w:w="211"/>
        <w:gridCol w:w="736"/>
        <w:gridCol w:w="166"/>
        <w:gridCol w:w="146"/>
        <w:gridCol w:w="244"/>
        <w:gridCol w:w="851"/>
        <w:gridCol w:w="4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28,168</w:t>
            </w:r>
          </w:p>
        </w:tc>
        <w:tc>
          <w:tcPr>
            <w:tcW w:w="41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19,789</w:t>
            </w:r>
          </w:p>
        </w:tc>
        <w:tc>
          <w:tcPr>
            <w:tcW w:w="41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software and office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16,083</w:t>
            </w:r>
          </w:p>
        </w:tc>
        <w:tc>
          <w:tcPr>
            <w:tcW w:w="41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67,865</w:t>
            </w:r>
          </w:p>
        </w:tc>
        <w:tc>
          <w:tcPr>
            <w:tcW w:w="41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567" w:type="dxa"/>
        <w:jc w:val="left"/>
        <w:tblInd w:w="0" w:type="dxa"/>
        <w:tblLayout w:type="fixed"/>
        <w:tblCellMar>
          <w:top w:w="28" w:type="dxa"/>
          <w:left w:w="28" w:type="dxa"/>
          <w:bottom w:w="28" w:type="dxa"/>
          <w:right w:w="28" w:type="dxa"/>
        </w:tblCellMar>
      </w:tblPr>
      <w:tblGrid>
        <w:gridCol w:w="1651"/>
        <w:gridCol w:w="146"/>
        <w:gridCol w:w="211"/>
        <w:gridCol w:w="781"/>
        <w:gridCol w:w="146"/>
        <w:gridCol w:w="146"/>
        <w:gridCol w:w="260"/>
        <w:gridCol w:w="835"/>
        <w:gridCol w:w="3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36,324</w:t>
            </w:r>
          </w:p>
        </w:tc>
        <w:tc>
          <w:tcPr>
            <w:tcW w:w="391" w:type="dxa"/>
            <w:tcBorders/>
            <w:shd w:fill="CFF0FC"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27,749</w:t>
            </w:r>
          </w:p>
        </w:tc>
        <w:tc>
          <w:tcPr>
            <w:tcW w:w="391" w:type="dxa"/>
            <w:tcBorders/>
            <w:shd w:fill="FFFFFF" w:val="clear"/>
            <w:vAlign w:val="center"/>
          </w:tcPr>
          <w:p>
            <w:pPr>
              <w:pStyle w:val="TableContents"/>
              <w:bidi w:val="0"/>
              <w:spacing w:before="0" w:after="283"/>
              <w:jc w:val="left"/>
              <w:rPr/>
            </w:pPr>
            <w:r>
              <w:rPr/>
              <w:t> </w:t>
            </w:r>
          </w:p>
        </w:tc>
      </w:tr>
      <w:tr>
        <w:trPr/>
        <w:tc>
          <w:tcPr>
            <w:tcW w:w="1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12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tbl>
      <w:tblPr>
        <w:tblW w:w="7057" w:type="dxa"/>
        <w:jc w:val="left"/>
        <w:tblInd w:w="0" w:type="dxa"/>
        <w:tblLayout w:type="fixed"/>
        <w:tblCellMar>
          <w:top w:w="28" w:type="dxa"/>
          <w:left w:w="28" w:type="dxa"/>
          <w:bottom w:w="28" w:type="dxa"/>
          <w:right w:w="28" w:type="dxa"/>
        </w:tblCellMar>
      </w:tblPr>
      <w:tblGrid>
        <w:gridCol w:w="4141"/>
        <w:gridCol w:w="146"/>
        <w:gridCol w:w="211"/>
        <w:gridCol w:w="781"/>
        <w:gridCol w:w="146"/>
        <w:gridCol w:w="146"/>
        <w:gridCol w:w="233"/>
        <w:gridCol w:w="862"/>
        <w:gridCol w:w="3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4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reserves for customer incentive programs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41,148</w:t>
            </w:r>
          </w:p>
        </w:tc>
        <w:tc>
          <w:tcPr>
            <w:tcW w:w="3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reserves for sales returns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36,822</w:t>
            </w:r>
          </w:p>
        </w:tc>
        <w:tc>
          <w:tcPr>
            <w:tcW w:w="391" w:type="dxa"/>
            <w:tcBorders/>
            <w:shd w:fill="FFFFFF" w:val="clear"/>
            <w:vAlign w:val="center"/>
          </w:tcPr>
          <w:p>
            <w:pPr>
              <w:pStyle w:val="TableContents"/>
              <w:bidi w:val="0"/>
              <w:spacing w:before="0" w:after="283"/>
              <w:jc w:val="left"/>
              <w:rPr/>
            </w:pPr>
            <w:r>
              <w:rPr/>
              <w:t> </w:t>
            </w:r>
          </w:p>
        </w:tc>
      </w:tr>
      <w:tr>
        <w:trPr/>
        <w:tc>
          <w:tcPr>
            <w:tcW w:w="4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9,721</w:t>
            </w:r>
          </w:p>
        </w:tc>
        <w:tc>
          <w:tcPr>
            <w:tcW w:w="3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17,989</w:t>
            </w:r>
          </w:p>
        </w:tc>
        <w:tc>
          <w:tcPr>
            <w:tcW w:w="391" w:type="dxa"/>
            <w:tcBorders/>
            <w:shd w:fill="FFFFFF" w:val="clear"/>
            <w:vAlign w:val="center"/>
          </w:tcPr>
          <w:p>
            <w:pPr>
              <w:pStyle w:val="TableContents"/>
              <w:bidi w:val="0"/>
              <w:spacing w:before="0" w:after="283"/>
              <w:jc w:val="left"/>
              <w:rPr/>
            </w:pPr>
            <w:r>
              <w:rPr/>
              <w:t> </w:t>
            </w:r>
          </w:p>
        </w:tc>
      </w:tr>
      <w:tr>
        <w:trPr/>
        <w:tc>
          <w:tcPr>
            <w:tcW w:w="4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freight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w:t>
            </w:r>
          </w:p>
        </w:tc>
        <w:tc>
          <w:tcPr>
            <w:tcW w:w="3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391" w:type="dxa"/>
            <w:tcBorders/>
            <w:shd w:fill="FFFFFF" w:val="clear"/>
            <w:vAlign w:val="center"/>
          </w:tcPr>
          <w:p>
            <w:pPr>
              <w:pStyle w:val="TableContents"/>
              <w:bidi w:val="0"/>
              <w:spacing w:before="0" w:after="283"/>
              <w:jc w:val="left"/>
              <w:rPr/>
            </w:pPr>
            <w:r>
              <w:rPr/>
              <w:t> </w:t>
            </w:r>
          </w:p>
        </w:tc>
      </w:tr>
      <w:tr>
        <w:trPr/>
        <w:tc>
          <w:tcPr>
            <w:tcW w:w="4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3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7,442</w:t>
            </w:r>
          </w:p>
        </w:tc>
        <w:tc>
          <w:tcPr>
            <w:tcW w:w="391" w:type="dxa"/>
            <w:tcBorders/>
            <w:shd w:fill="FFFFFF" w:val="clear"/>
            <w:vAlign w:val="center"/>
          </w:tcPr>
          <w:p>
            <w:pPr>
              <w:pStyle w:val="TableContents"/>
              <w:bidi w:val="0"/>
              <w:spacing w:before="0" w:after="283"/>
              <w:jc w:val="left"/>
              <w:rPr/>
            </w:pPr>
            <w:r>
              <w:rPr/>
              <w:t> </w:t>
            </w:r>
          </w:p>
        </w:tc>
      </w:tr>
      <w:tr>
        <w:trPr/>
        <w:tc>
          <w:tcPr>
            <w:tcW w:w="4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 and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992" w:type="dxa"/>
        <w:jc w:val="left"/>
        <w:tblInd w:w="0" w:type="dxa"/>
        <w:tblLayout w:type="fixed"/>
        <w:tblCellMar>
          <w:top w:w="28" w:type="dxa"/>
          <w:left w:w="28" w:type="dxa"/>
          <w:bottom w:w="28" w:type="dxa"/>
          <w:right w:w="28" w:type="dxa"/>
        </w:tblCellMar>
      </w:tblPr>
      <w:tblGrid>
        <w:gridCol w:w="3181"/>
        <w:gridCol w:w="146"/>
        <w:gridCol w:w="211"/>
        <w:gridCol w:w="676"/>
        <w:gridCol w:w="146"/>
        <w:gridCol w:w="146"/>
        <w:gridCol w:w="260"/>
        <w:gridCol w:w="835"/>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38,587</w:t>
            </w:r>
          </w:p>
        </w:tc>
        <w:tc>
          <w:tcPr>
            <w:tcW w:w="3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Debt</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On September 3, 2021, we refinanced the First Lien Credit and Guaranty Agreement with a new Credit Agreement (as amended, the “Credit Agreement”). The Credit Agreement provides for a $100.0 million five-year revolving credit facility (“Revolving Facility”) and a $250.0 million five-year term loan facility (“Term Loan”), with each maturing in September 2026. The Credit Agreement also permits, subject to conditions stated therein, additional incremental facilities in a maximum aggregate principal amount not to exceed $250.0 million. We may prepay the Term Loan and the Revolving Facility at any time without premium or penalty. We prepaid $11.9 million and $34.1 million of the Term Loan principal in the six months ended June 30, 2024 and in the year ended December 31,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carrying value of our Term Loan (in thousands):</w:t>
      </w:r>
    </w:p>
    <w:tbl>
      <w:tblPr>
        <w:tblW w:w="7287" w:type="dxa"/>
        <w:jc w:val="left"/>
        <w:tblInd w:w="0" w:type="dxa"/>
        <w:tblLayout w:type="fixed"/>
        <w:tblCellMar>
          <w:top w:w="28" w:type="dxa"/>
          <w:left w:w="28" w:type="dxa"/>
          <w:bottom w:w="28" w:type="dxa"/>
          <w:right w:w="28" w:type="dxa"/>
        </w:tblCellMar>
      </w:tblPr>
      <w:tblGrid>
        <w:gridCol w:w="4351"/>
        <w:gridCol w:w="146"/>
        <w:gridCol w:w="211"/>
        <w:gridCol w:w="781"/>
        <w:gridCol w:w="166"/>
        <w:gridCol w:w="146"/>
        <w:gridCol w:w="233"/>
        <w:gridCol w:w="862"/>
        <w:gridCol w:w="3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4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(variable rate) due September 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199,000</w:t>
            </w:r>
          </w:p>
        </w:tc>
        <w:tc>
          <w:tcPr>
            <w:tcW w:w="391" w:type="dxa"/>
            <w:tcBorders/>
            <w:shd w:fill="CFF0FC"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discount and issuance cost, net of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198,196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3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debt maturing within one year,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the estimated fair value of the Term Loan, which we have classified as a Level 2 financial instrument, was approximately $176.9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and December 31, 2023, we had $100.0 million unused capacity under the Revolving Facility.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Credit Agreement has a variable rate structure. According to the provisions in the Third Amendment to the Credit Agreement (“Third Amendment”), beginning 2024, the Term Loan and the Revolving Facility carry interest at our election at either (a) Bloomberg Short-Term Bank Yield Index rate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Additionally, the commitment fees on the unused portion of the Revolving Facility ranges from 0.2% to 0.4% based on our total net leverage ratio. The effective interest rate of our Term Loan, inclusive of the debt discount and debt issuance costs, was approximately 7.29% and 7.67% for the three months ended June 30, 2024 and 2023, respectively, and was approximately 7.39% and 7.36% for the six months ended June 30,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contains covenants with which we must comply during the term of the agreement, which we believe are ordinary and standard for agreements of this nature, including the maintenance of a maximum Consolidated Total Net Leverage Ratio (“CTNL Ratio”) and a minimum Consolidated Interest Coverage Ratio (“CIC Ratio”) (as defined in the Credit Agreement). According to the provisions in the Third Amendment, beginning 2024, we are required to maintain a maximum CTNL Ratio of 3.00 to 1.00 and a minimum CIC ratio of 3.00 to 1.00, with the provision that the maximum CTNL Ratio can be temporarily increased to 3.50 to 1.00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13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occurrence of a Qualified Acquisition (as defined in, and subject to the requirements of the Credit Agreement). As of June 30, 2024, we were not in default under the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interest expense recognized for all periods presented (in thousands):</w:t>
      </w:r>
    </w:p>
    <w:tbl>
      <w:tblPr>
        <w:tblW w:w="8662" w:type="dxa"/>
        <w:jc w:val="left"/>
        <w:tblInd w:w="0" w:type="dxa"/>
        <w:tblLayout w:type="fixed"/>
        <w:tblCellMar>
          <w:top w:w="28" w:type="dxa"/>
          <w:left w:w="28" w:type="dxa"/>
          <w:bottom w:w="28" w:type="dxa"/>
          <w:right w:w="28" w:type="dxa"/>
        </w:tblCellMar>
      </w:tblPr>
      <w:tblGrid>
        <w:gridCol w:w="4121"/>
        <w:gridCol w:w="146"/>
        <w:gridCol w:w="211"/>
        <w:gridCol w:w="571"/>
        <w:gridCol w:w="146"/>
        <w:gridCol w:w="146"/>
        <w:gridCol w:w="211"/>
        <w:gridCol w:w="571"/>
        <w:gridCol w:w="146"/>
        <w:gridCol w:w="146"/>
        <w:gridCol w:w="211"/>
        <w:gridCol w:w="571"/>
        <w:gridCol w:w="146"/>
        <w:gridCol w:w="146"/>
        <w:gridCol w:w="211"/>
        <w:gridCol w:w="571"/>
        <w:gridCol w:w="39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41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41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Contractual interest expense for term loan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1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Amortization of debt discount and issuance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1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future principal payments under our total long-term debt as of June 30, 2024 are as follows (in thousands):</w:t>
      </w:r>
    </w:p>
    <w:tbl>
      <w:tblPr>
        <w:tblW w:w="3210" w:type="dxa"/>
        <w:jc w:val="left"/>
        <w:tblInd w:w="0" w:type="dxa"/>
        <w:tblLayout w:type="fixed"/>
        <w:tblCellMar>
          <w:top w:w="28" w:type="dxa"/>
          <w:left w:w="28" w:type="dxa"/>
          <w:bottom w:w="28" w:type="dxa"/>
          <w:right w:w="28" w:type="dxa"/>
        </w:tblCellMar>
      </w:tblPr>
      <w:tblGrid>
        <w:gridCol w:w="1681"/>
        <w:gridCol w:w="146"/>
        <w:gridCol w:w="211"/>
        <w:gridCol w:w="78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162,125</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Warranties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assurance-type warranty obligations were as follows (in thousands):</w:t>
      </w:r>
    </w:p>
    <w:tbl>
      <w:tblPr>
        <w:tblW w:w="8987" w:type="dxa"/>
        <w:jc w:val="left"/>
        <w:tblInd w:w="0" w:type="dxa"/>
        <w:tblLayout w:type="fixed"/>
        <w:tblCellMar>
          <w:top w:w="28" w:type="dxa"/>
          <w:left w:w="28" w:type="dxa"/>
          <w:bottom w:w="28" w:type="dxa"/>
          <w:right w:w="28" w:type="dxa"/>
        </w:tblCellMar>
      </w:tblPr>
      <w:tblGrid>
        <w:gridCol w:w="4146"/>
        <w:gridCol w:w="146"/>
        <w:gridCol w:w="211"/>
        <w:gridCol w:w="631"/>
        <w:gridCol w:w="166"/>
        <w:gridCol w:w="146"/>
        <w:gridCol w:w="211"/>
        <w:gridCol w:w="631"/>
        <w:gridCol w:w="166"/>
        <w:gridCol w:w="146"/>
        <w:gridCol w:w="211"/>
        <w:gridCol w:w="631"/>
        <w:gridCol w:w="166"/>
        <w:gridCol w:w="146"/>
        <w:gridCol w:w="211"/>
        <w:gridCol w:w="631"/>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Warranty provision related to products shipped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Deductions for warranty claims processed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Unconditional Purchase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we enter into various purchase commitments for goods or services. Our long-term non-cancelable purchase commitments consist primarily of multi-year contractual arrangements relating to subscriptions for cloud computing hosting arrangements for applications used in R&amp;D as well as for our enterprise resource planning (“ERP”) system and the related support services. The total long-term non-cancelable purchase commitments as of June 30, 2024 was as follows (in thousands):</w:t>
      </w:r>
    </w:p>
    <w:tbl>
      <w:tblPr>
        <w:tblW w:w="2969" w:type="dxa"/>
        <w:jc w:val="left"/>
        <w:tblInd w:w="0" w:type="dxa"/>
        <w:tblLayout w:type="fixed"/>
        <w:tblCellMar>
          <w:top w:w="28" w:type="dxa"/>
          <w:left w:w="28" w:type="dxa"/>
          <w:bottom w:w="28" w:type="dxa"/>
          <w:right w:w="28" w:type="dxa"/>
        </w:tblCellMar>
      </w:tblPr>
      <w:tblGrid>
        <w:gridCol w:w="1681"/>
        <w:gridCol w:w="146"/>
        <w:gridCol w:w="250"/>
        <w:gridCol w:w="50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total non-cancelable long term purchase commitments outstanding as of December 31, 2023 was $1.5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letters of credit outstanding as of June 30, 2024 and December 31, 2023. No amounts have been drawn upon the letters of credit for all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14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be involved in various claims and legal proceedings of a character normally incident to the ordinary course of business. Litigation can be expensive and disruptive to normal business operations, and the results of complex legal proceedings are difficult to predict, and our view of these matters may change in the future as the litigation and events related thereto unfold. We expense legal fees as incurred and we record a provision for contingent losses when it is both probable that a liability has been incurred and the amount of the loss can be reasonably estimated. Based on currently available information, we believe that existing claims or proceedings are not likely to have a material adverse effect on our financial position, or the outcome of these matters is currently not determinable. An unfavorable outcome to any legal matter, if material, could have an adverse effect on our operations or financial position, liquidity of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condensed consolidated balance sheets, statements of operations, or statements of cash flows. We currently have directors’ and officers’ insurance.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Shelf-Registration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22, 2022, we filed a shelf registration statement on Form S-3 with the SEC, which was declared effective August 1, 2022 (the “2022 Shelf Registration Statement”). The 2022 Shelf Registration Statement registered securities to be offered by us, in an amount up to $300.0 million, including common stock, preferred stock and warrants, through August 1, 2025. In addition, the 2022 Shelf Registration Statement registered 54,179,559 shares of common stock held by the selling securityholders named in the 2022 Shelf Registration Statement. We will not receive any of the proceeds from the sale of the shares registered by the selling securityholders.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$216.7 million remained available for issuance under the 2022 Shelf Registration Statement.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Equity Incentive Plans and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we have two active equity incentive plans: the 2020 Equity Incentive Plan and the Employee Stock Purchase Plan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we granted performance stock units (“PSU”) to certain senior members of our management team under the 2020 Equity Incentive Plan. The vesting of PSUs is conditional upon the achievement of certain internal financial targets for the year ended December 31, 2024 and these will vest over a three-year service period. The number of units issued can range from 0% to 200% of the target shares depending on the achievement of the financial targets. In the event such targets are achieved, one-third of the eligible PSUs would vest and the remaining two-thirds would thereafter vest evenly over the second and third years. In the event the minimum targets are not achieved, no PSUs would vest. The compensation expense associated with PSUs is recognized using the accelerated attribution method over the requisite service period, and it is based on the estimated number of shares that is considered probable of vesting. Adjustments to the compensation expense will be made in each reporting period based on changes in our estimate of the number of PSUs that are probable of vesting.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and recognize compensation for all stock-based compensation awards, including stock options, stock purchase rights, restricted stock units (“RSU”) and PSU, based upon the grant-date fair value of those awards. The grant-date fair value of our stock options and stock purchase rights is estimated using a Black-Scholes-Merton option-pricing model. The fair value of our RSUs and PSUs are calculated based on the market value of our stock at the grant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15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stock-based compensation expense by line item in the condensed consolidated statements of operations (in thousands):</w:t>
      </w:r>
    </w:p>
    <w:tbl>
      <w:tblPr>
        <w:tblW w:w="10205" w:type="dxa"/>
        <w:jc w:val="left"/>
        <w:tblInd w:w="0" w:type="dxa"/>
        <w:tblLayout w:type="fixed"/>
        <w:tblCellMar>
          <w:top w:w="28" w:type="dxa"/>
          <w:left w:w="28" w:type="dxa"/>
          <w:bottom w:w="28" w:type="dxa"/>
          <w:right w:w="28" w:type="dxa"/>
        </w:tblCellMar>
      </w:tblPr>
      <w:tblGrid>
        <w:gridCol w:w="5434"/>
        <w:gridCol w:w="146"/>
        <w:gridCol w:w="211"/>
        <w:gridCol w:w="571"/>
        <w:gridCol w:w="166"/>
        <w:gridCol w:w="146"/>
        <w:gridCol w:w="211"/>
        <w:gridCol w:w="571"/>
        <w:gridCol w:w="146"/>
        <w:gridCol w:w="146"/>
        <w:gridCol w:w="211"/>
        <w:gridCol w:w="676"/>
        <w:gridCol w:w="146"/>
        <w:gridCol w:w="146"/>
        <w:gridCol w:w="211"/>
        <w:gridCol w:w="676"/>
        <w:gridCol w:w="391"/>
      </w:tblGrid>
      <w:tr>
        <w:trPr/>
        <w:tc>
          <w:tcPr>
            <w:tcW w:w="5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54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391" w:type="dxa"/>
            <w:tcBorders/>
            <w:shd w:fill="CFF0FC" w:val="clear"/>
            <w:vAlign w:val="center"/>
          </w:tcPr>
          <w:p>
            <w:pPr>
              <w:pStyle w:val="TableContents"/>
              <w:bidi w:val="0"/>
              <w:spacing w:before="0" w:after="283"/>
              <w:jc w:val="left"/>
              <w:rPr/>
            </w:pPr>
            <w:r>
              <w:rPr/>
              <w:t> </w:t>
            </w:r>
          </w:p>
        </w:tc>
      </w:tr>
      <w:tr>
        <w:trPr/>
        <w:tc>
          <w:tcPr>
            <w:tcW w:w="54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12,478</w:t>
            </w:r>
          </w:p>
        </w:tc>
        <w:tc>
          <w:tcPr>
            <w:tcW w:w="391" w:type="dxa"/>
            <w:tcBorders/>
            <w:shd w:fill="FFFFFF" w:val="clear"/>
            <w:vAlign w:val="center"/>
          </w:tcPr>
          <w:p>
            <w:pPr>
              <w:pStyle w:val="TableContents"/>
              <w:bidi w:val="0"/>
              <w:spacing w:before="0" w:after="283"/>
              <w:jc w:val="left"/>
              <w:rPr/>
            </w:pPr>
            <w:r>
              <w:rPr/>
              <w:t> </w:t>
            </w:r>
          </w:p>
        </w:tc>
      </w:tr>
      <w:tr>
        <w:trPr/>
        <w:tc>
          <w:tcPr>
            <w:tcW w:w="54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34"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Stock-based compensation expense, net of amounts capitalized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3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Excess income tax benefits (deficiencies) related to 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8"/>
        </w:rPr>
      </w:pPr>
      <w:r>
        <w:rPr>
          <w:rFonts w:ascii="Times New Roman" w:hAnsi="Times New Roman"/>
          <w:color w:val="000000"/>
          <w:sz w:val="18"/>
        </w:rPr>
        <w:t>Stock-based compensation expense capitalized were not material for each of the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by type of grant, the total unrecognized stock-based compensation expense and the remaining period over which such expense is expected to be recognized (in thousands, except number of years):</w:t>
      </w:r>
    </w:p>
    <w:tbl>
      <w:tblPr>
        <w:tblW w:w="10205" w:type="dxa"/>
        <w:jc w:val="left"/>
        <w:tblInd w:w="0" w:type="dxa"/>
        <w:tblLayout w:type="fixed"/>
        <w:tblCellMar>
          <w:top w:w="28" w:type="dxa"/>
          <w:left w:w="28" w:type="dxa"/>
          <w:bottom w:w="28" w:type="dxa"/>
          <w:right w:w="28" w:type="dxa"/>
        </w:tblCellMar>
      </w:tblPr>
      <w:tblGrid>
        <w:gridCol w:w="4665"/>
        <w:gridCol w:w="146"/>
        <w:gridCol w:w="402"/>
        <w:gridCol w:w="1295"/>
        <w:gridCol w:w="146"/>
        <w:gridCol w:w="146"/>
        <w:gridCol w:w="3405"/>
      </w:tblGrid>
      <w:tr>
        <w:trPr/>
        <w:tc>
          <w:tcPr>
            <w:tcW w:w="4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46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39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r>
      <w:tr>
        <w:trPr/>
        <w:tc>
          <w:tcPr>
            <w:tcW w:w="46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Unrecognized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weighted average period (In years)</w:t>
            </w:r>
          </w:p>
        </w:tc>
      </w:tr>
      <w:tr>
        <w:trPr/>
        <w:tc>
          <w:tcPr>
            <w:tcW w:w="46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05" w:type="dxa"/>
            <w:tcBorders/>
            <w:shd w:fill="FFFFFF" w:val="clear"/>
            <w:vAlign w:val="center"/>
          </w:tcPr>
          <w:p>
            <w:pPr>
              <w:pStyle w:val="TableContents"/>
              <w:bidi w:val="0"/>
              <w:spacing w:before="0" w:after="283"/>
              <w:jc w:val="center"/>
              <w:rPr/>
            </w:pPr>
            <w:r>
              <w:rPr/>
              <w:t> </w:t>
            </w:r>
          </w:p>
        </w:tc>
      </w:tr>
      <w:tr>
        <w:trPr/>
        <w:tc>
          <w:tcPr>
            <w:tcW w:w="46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46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466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PSUs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left"/>
              <w:rPr/>
            </w:pPr>
            <w:r>
              <w:rPr/>
              <w:t> </w:t>
            </w:r>
          </w:p>
        </w:tc>
        <w:tc>
          <w:tcPr>
            <w:tcW w:w="129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6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FFFFFF" w:val="cle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5"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0.1</w:t>
            </w:r>
          </w:p>
        </w:tc>
      </w:tr>
      <w:tr>
        <w:trPr/>
        <w:tc>
          <w:tcPr>
            <w:tcW w:w="46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unrecognized stock-based compensation expense</w:t>
            </w:r>
          </w:p>
        </w:tc>
        <w:tc>
          <w:tcPr>
            <w:tcW w:w="146" w:type="dxa"/>
            <w:tcBorders/>
            <w:shd w:fill="CFF0FC" w:val="cle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5"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of June 30, 2024, we assessed the likelihood of achieving the financial targets for the PSUs and determined that it was not probable to be achieved. As such, the stock-based compensation expense recognized from the grant date through the date of assessment was reversed, and there is no unrecognized stock-based compensation expense remaining as of June 30,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Net Loss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calculation of basic and diluted net loss per share (in thousands, except per share amounts):</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66"/>
        <w:gridCol w:w="146"/>
        <w:gridCol w:w="211"/>
        <w:gridCol w:w="781"/>
        <w:gridCol w:w="166"/>
        <w:gridCol w:w="146"/>
        <w:gridCol w:w="211"/>
        <w:gridCol w:w="781"/>
        <w:gridCol w:w="166"/>
        <w:gridCol w:w="146"/>
        <w:gridCol w:w="211"/>
        <w:gridCol w:w="781"/>
        <w:gridCol w:w="391"/>
      </w:tblGrid>
      <w:tr>
        <w:trP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Corsair Gaming, Inc.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redemption value of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 attributable to common stockholders of Corsair Gaming, Inc.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shares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101,996</w:t>
            </w:r>
          </w:p>
        </w:tc>
        <w:tc>
          <w:tcPr>
            <w:tcW w:w="391" w:type="dxa"/>
            <w:tcBorders/>
            <w:shd w:fill="FFFFFF" w:val="clear"/>
            <w:vAlign w:val="center"/>
          </w:tcPr>
          <w:p>
            <w:pPr>
              <w:pStyle w:val="TableContents"/>
              <w:bidi w:val="0"/>
              <w:spacing w:before="0" w:after="283"/>
              <w:jc w:val="lef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diluted weighted-average shares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attributable to common stockholders of Corsair Gaming, Inc.:</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476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764" w:type="dxa"/>
            <w:tcBorders/>
            <w:shd w:fill="FFFFFF" w:val="cle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 xml:space="preserve">Anti-dilutive potential common shares </w:t>
            </w:r>
            <w:r>
              <w:rPr>
                <w:rFonts w:ascii="Calibri;sans-serif" w:hAnsi="Calibri;sans-serif"/>
                <w:color w:val="000000"/>
                <w:sz w:val="15"/>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4,858</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8"/>
        </w:rPr>
      </w:pPr>
      <w:r>
        <w:rPr>
          <w:rFonts w:ascii="Times New Roman" w:hAnsi="Times New Roman"/>
          <w:color w:val="000000"/>
          <w:sz w:val="18"/>
        </w:rPr>
        <w:t>Potential common share equivalents were not included in the calculation of diluted net loss per share as the effect would have been anti-dilutive.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16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loss before income taxes, income tax benefit and effective income tax rates for all periods presented (in thousands, except percentages):</w:t>
      </w:r>
    </w:p>
    <w:tbl>
      <w:tblPr>
        <w:tblW w:w="7452" w:type="dxa"/>
        <w:jc w:val="left"/>
        <w:tblInd w:w="0" w:type="dxa"/>
        <w:tblLayout w:type="fixed"/>
        <w:tblCellMar>
          <w:top w:w="28" w:type="dxa"/>
          <w:left w:w="28" w:type="dxa"/>
          <w:bottom w:w="28" w:type="dxa"/>
          <w:right w:w="28" w:type="dxa"/>
        </w:tblCellMar>
      </w:tblPr>
      <w:tblGrid>
        <w:gridCol w:w="2161"/>
        <w:gridCol w:w="146"/>
        <w:gridCol w:w="211"/>
        <w:gridCol w:w="736"/>
        <w:gridCol w:w="271"/>
        <w:gridCol w:w="146"/>
        <w:gridCol w:w="211"/>
        <w:gridCol w:w="631"/>
        <w:gridCol w:w="271"/>
        <w:gridCol w:w="146"/>
        <w:gridCol w:w="211"/>
        <w:gridCol w:w="736"/>
        <w:gridCol w:w="271"/>
        <w:gridCol w:w="146"/>
        <w:gridCol w:w="211"/>
        <w:gridCol w:w="631"/>
        <w:gridCol w:w="31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316" w:type="dxa"/>
            <w:tcBorders/>
            <w:shd w:fill="FFFFFF" w:val="clear"/>
            <w:vAlign w:val="center"/>
          </w:tcPr>
          <w:p>
            <w:pPr>
              <w:pStyle w:val="TableContents"/>
              <w:bidi w:val="0"/>
              <w:spacing w:before="0" w:after="283"/>
              <w:jc w:val="left"/>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changes in management’s assessment of matters such as the ability to realize deferred tax assets, and changes in tax laws.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effective tax rates were 14.5% and 35.9% for the three months ended June 30, 2024 and 2023, respectively. The decrease in our effective rate in the three-month period was primarily due to a change in the mix of income and losses in the various tax jurisdictions in which we operate, and an increase in shortfall tax deficiencies from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effective tax rates were 14.3% and 33.8% for the six months ended June 30, 2024 and 2023, respectively. The decrease in our effective rate in the six-month period was primarily due to a change in the mix of income and losses in the various tax jurisdictions in which we operate, and an increase in shortfall tax deficiencies from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Unrecognized tax benefits were $3.7 million as of June 30, 2024 and $3.5 million as of December 31, 2023, respectively, and if recognized, would favorably affect the effective income tax rate in future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15, 2022, the European Union (“EU”) Member States formally adopted the EU’s Pillar Two Directive, which generally provides for a minimum effective tax rate of 15%, as established by the Organization for Economic Co-operation and Development (“OECD”) Pillar Two Framework that was supported by over 130 countries worldwide. The EU effective dates are January 1, 2024, and January 1, 2025, for different aspects of the directive. A significant number of other countries are expected to also implement similar legislation, including United Kingdom which approved the legislation on July 11, 2023 with a full effective date of January 1, 2024. We have evaluated the potential impact from the OECD Pillar Two rules and determined that there is no impact to our financial position for the year of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Segment and Geographic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two reportable segments: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Gamer and Creator Peripherals</w:t>
      </w:r>
      <w:r>
        <w:rPr>
          <w:rFonts w:ascii="Times New Roman" w:hAnsi="Times New Roman"/>
          <w:color w:val="000000"/>
          <w:sz w:val="20"/>
        </w:rPr>
        <w:t>. Includes our high-performance gaming keyboards, mice, headsets, controllers, and streaming products, which includes capture cards, Stream Decks, microphones and audio interfaces, our Facecam streaming cameras, studio accessories, and gaming furniture,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Gaming Components and Systems</w:t>
      </w:r>
      <w:r>
        <w:rPr>
          <w:rFonts w:ascii="Times New Roman" w:hAnsi="Times New Roman"/>
          <w:color w:val="000000"/>
          <w:sz w:val="20"/>
        </w:rPr>
        <w:t>. Includes our high-performance power supply units, or PSUs, cooling solutions, computer cases, and DRAM modules, as well as high-end prebuilt and custom-built gaming PCs and laptops, and gaming monitors,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segments are defined as those operations our CODM regularly reviews to analyze performance and allocate resources. Our CODM is determined to be Corsair’s Chief Executive Officer. The results of the reportable segments are derived directly from our reporting system and are based on the methods of internal reporting which are not necessarily in conformity with GAAP. Management measures net revenue and gross profit to evaluate the performance of, and allocate resources to, each of the segments.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17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financial information for each reportable segment (in thousands):</w:t>
      </w:r>
    </w:p>
    <w:tbl>
      <w:tblPr>
        <w:tblW w:w="8277" w:type="dxa"/>
        <w:jc w:val="left"/>
        <w:tblInd w:w="0" w:type="dxa"/>
        <w:tblLayout w:type="fixed"/>
        <w:tblCellMar>
          <w:top w:w="28" w:type="dxa"/>
          <w:left w:w="28" w:type="dxa"/>
          <w:bottom w:w="28" w:type="dxa"/>
          <w:right w:w="28" w:type="dxa"/>
        </w:tblCellMar>
      </w:tblPr>
      <w:tblGrid>
        <w:gridCol w:w="2896"/>
        <w:gridCol w:w="146"/>
        <w:gridCol w:w="211"/>
        <w:gridCol w:w="781"/>
        <w:gridCol w:w="146"/>
        <w:gridCol w:w="146"/>
        <w:gridCol w:w="211"/>
        <w:gridCol w:w="781"/>
        <w:gridCol w:w="146"/>
        <w:gridCol w:w="146"/>
        <w:gridCol w:w="211"/>
        <w:gridCol w:w="781"/>
        <w:gridCol w:w="146"/>
        <w:gridCol w:w="146"/>
        <w:gridCol w:w="211"/>
        <w:gridCol w:w="781"/>
        <w:gridCol w:w="3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Gamer and Creator Peripherals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167,697</w:t>
            </w:r>
          </w:p>
        </w:tc>
        <w:tc>
          <w:tcPr>
            <w:tcW w:w="3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Gaming Components and Systems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511,699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Gamer and Creator Peripherals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52,157</w:t>
            </w:r>
          </w:p>
        </w:tc>
        <w:tc>
          <w:tcPr>
            <w:tcW w:w="3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Gaming Components and Systems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CODM manages assets on a total company basis, not by operating segments; therefore, asset information and capital expenditures by operating segments are not presented.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Geographic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net revenue by geographic region based on the location of the customer (in thousands):</w:t>
      </w:r>
    </w:p>
    <w:tbl>
      <w:tblPr>
        <w:tblW w:w="7467" w:type="dxa"/>
        <w:jc w:val="left"/>
        <w:tblInd w:w="0" w:type="dxa"/>
        <w:tblLayout w:type="fixed"/>
        <w:tblCellMar>
          <w:top w:w="28" w:type="dxa"/>
          <w:left w:w="28" w:type="dxa"/>
          <w:bottom w:w="28" w:type="dxa"/>
          <w:right w:w="28" w:type="dxa"/>
        </w:tblCellMar>
      </w:tblPr>
      <w:tblGrid>
        <w:gridCol w:w="2086"/>
        <w:gridCol w:w="146"/>
        <w:gridCol w:w="211"/>
        <w:gridCol w:w="781"/>
        <w:gridCol w:w="146"/>
        <w:gridCol w:w="146"/>
        <w:gridCol w:w="211"/>
        <w:gridCol w:w="781"/>
        <w:gridCol w:w="146"/>
        <w:gridCol w:w="146"/>
        <w:gridCol w:w="211"/>
        <w:gridCol w:w="781"/>
        <w:gridCol w:w="146"/>
        <w:gridCol w:w="146"/>
        <w:gridCol w:w="211"/>
        <w:gridCol w:w="781"/>
        <w:gridCol w:w="3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354,925</w:t>
            </w:r>
          </w:p>
        </w:tc>
        <w:tc>
          <w:tcPr>
            <w:tcW w:w="3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and Middle East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218,571</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598,557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Revenues from sales to customers in the United States represented 48.7% and 46.1% for the three months ended June 30, 2024 and 2023, respectively, and represented 46.9% and 46.1% for the six months ended June 30, 2024 and 2023, respectively. No other single country represented 10% or more of total net revenue during these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 table sets forth the customers that individually comprised 10% or more of our total net revenue for the periods presented:</w:t>
      </w:r>
    </w:p>
    <w:tbl>
      <w:tblPr>
        <w:tblW w:w="5242" w:type="dxa"/>
        <w:jc w:val="left"/>
        <w:tblInd w:w="0" w:type="dxa"/>
        <w:tblLayout w:type="fixed"/>
        <w:tblCellMar>
          <w:top w:w="28" w:type="dxa"/>
          <w:left w:w="28" w:type="dxa"/>
          <w:bottom w:w="28" w:type="dxa"/>
          <w:right w:w="28" w:type="dxa"/>
        </w:tblCellMar>
      </w:tblPr>
      <w:tblGrid>
        <w:gridCol w:w="1081"/>
        <w:gridCol w:w="146"/>
        <w:gridCol w:w="146"/>
        <w:gridCol w:w="466"/>
        <w:gridCol w:w="271"/>
        <w:gridCol w:w="146"/>
        <w:gridCol w:w="146"/>
        <w:gridCol w:w="466"/>
        <w:gridCol w:w="271"/>
        <w:gridCol w:w="146"/>
        <w:gridCol w:w="146"/>
        <w:gridCol w:w="466"/>
        <w:gridCol w:w="271"/>
        <w:gridCol w:w="146"/>
        <w:gridCol w:w="146"/>
        <w:gridCol w:w="466"/>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Customer represents less than 10% of our total net revenue in the period presented.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 Redeemable Noncontrolling Interest ("RNCI")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2022, we acquired a 51% ownership stake in Elgato iDisplay Holdings LTD. and its related companies (together “iDisplay”). We have determined that we have a controlling financial interest in iDisplay under the VOE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Shareholders Agreement between Corsair and the iDisplay Seller a put option was provided to the iDisplay Seller to transfer to Corsair (i) 14% of their ownership interest in iDisplay upon the first anniversary of the Closing Date of the iDisplay Acquisition, and (ii) an additional 15% of their ownership interest in iDisplay upon the second anniversary of the Closing Date. The put option will expire after January 1, 2025. As of June 30, 2024, the iDisplay Seller has not exercised the put option for the transfer of the 29% of their ownership interest to Corsair.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exercise price of the put option is based on multiples of iDisplay’s historical TTM EBITDA less any debt. The put option makes this portion of the noncontrolling interest redeemable and therefore, the RNCI is classified as temporary equity on our condensed consolidated balance sheets and carried at the greater of the initial carrying amount, increased or decreased, for the RNCI share of comprehensive income (loss), contributions and distributions, or the redemption value. The change in redemption value is recognized through retained earnings.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18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changes in RNCI for the periods presented (in thousands):</w:t>
      </w:r>
    </w:p>
    <w:tbl>
      <w:tblPr>
        <w:tblW w:w="7922" w:type="dxa"/>
        <w:jc w:val="left"/>
        <w:tblInd w:w="0" w:type="dxa"/>
        <w:tblLayout w:type="fixed"/>
        <w:tblCellMar>
          <w:top w:w="28" w:type="dxa"/>
          <w:left w:w="28" w:type="dxa"/>
          <w:bottom w:w="28" w:type="dxa"/>
          <w:right w:w="28" w:type="dxa"/>
        </w:tblCellMar>
      </w:tblPr>
      <w:tblGrid>
        <w:gridCol w:w="2981"/>
        <w:gridCol w:w="146"/>
        <w:gridCol w:w="211"/>
        <w:gridCol w:w="676"/>
        <w:gridCol w:w="166"/>
        <w:gridCol w:w="146"/>
        <w:gridCol w:w="211"/>
        <w:gridCol w:w="676"/>
        <w:gridCol w:w="166"/>
        <w:gridCol w:w="146"/>
        <w:gridCol w:w="211"/>
        <w:gridCol w:w="676"/>
        <w:gridCol w:w="166"/>
        <w:gridCol w:w="146"/>
        <w:gridCol w:w="211"/>
        <w:gridCol w:w="676"/>
        <w:gridCol w:w="311"/>
      </w:tblGrid>
      <w:tr>
        <w:trPr/>
        <w:tc>
          <w:tcPr>
            <w:tcW w:w="2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2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21,367</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9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 of 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9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 of other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Dividend paid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981"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Change in redemption value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These amounts represent increases or (decreases) in redemption value over the carrying value for the respective periods. These amounts were recorded as an offset to retained earnings impacting the net income (loss) used in the calculation of net income (loss) per share attributable to common stockholders of Corsair Gaming, Inc. for these periods.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 Subsequent Event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 2024 (the “Execution Date”), we entered into a Share Purchase Amendment Agreement (the “SPAA”) to acquire an additional 30% ownership stake in iDisplay, which will increase our total ownership stake in iDisplay from 51% to 81%, and correspondingly will decrease the iDisplay Seller's ownership interest in iDisplay from 49% to 19%. The closing conditions of the SPAA were completed on July 8, 2024, along with our payment in full of the cash consideration of $19.75 million to the iDisplay Seller.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SPAA replaced the call option and put option in the original Shareholders Agreement with new options. Under the SPAA, a put option was provided to the iDisplay Seller to sell up to 19% of ownership interest in iDisplay to Corsair within one year after the fifth anniversary date of the Execution Date, and a call option was provided to Corsair to purchase up to 19% ownership interest in iDisplay at any time after the second anniversary of the Execution Date. The exercise price of the put and call options of the SPAA remained the same as the terms defined in the original Shareholders Agreement, which is based on certain multiples of iDisplay’s trailing twelve-month earnings before interest, income tax, depreciation and amortization (“TTM EBITDA”) less any debt. In addition, if the founder of iDisplay ceases to serve as the manager of iDisplay, voluntarily or with cause, we are entitled to an irrevocable call option to purchase up to 19% ownership interest in iDisplay at any time during the five years after the Execution Date and the exercise price is based on a prescribed multiple of TTM EBITDA.</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19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MANAGEMENT’S DISCUSSION AND ANALYSIS OF FINANCIAL CONDITION</w:t>
      </w:r>
    </w:p>
    <w:p>
      <w:pPr>
        <w:pStyle w:val="TextBody"/>
        <w:bidi w:val="0"/>
        <w:jc w:val="center"/>
        <w:rPr>
          <w:rFonts w:ascii="Times New Roman" w:hAnsi="Times New Roman"/>
          <w:b/>
          <w:color w:val="000000"/>
          <w:sz w:val="20"/>
        </w:rPr>
      </w:pPr>
      <w:r>
        <w:rPr>
          <w:rFonts w:ascii="Times New Roman" w:hAnsi="Times New Roman"/>
          <w:b/>
          <w:color w:val="000000"/>
          <w:sz w:val="20"/>
        </w:rPr>
        <w:t>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the condensed consolidated financial statements and the related notes included elsewhere in this Quarterly Report on Form 10-Q as well as in conjunction with the Risk Factors set forth in Part I, Item 1A of our Annual Report on Form 10-K for the year ended December 31, 2023, as filed with the United States Securities and Exchange Commission (“SEC”) on February 27, 2024. The following discussion contains forward-looking statements based upon current expectations that involve risks and uncertainties. Our actual results could differ materially from those anticipated in these forward-looking statements as a result of many factors, including but not limited to those discussed under the heading “Risk Factors” in Part I, Item 1A of our Annual Report on Form 10-K for the year ended December 31, 2023.</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leading global provider and innovator of high-performance products for gamers and digital creators, such as streamers, Vloggers and broadcasters, many of which build their own PCs using our components. Our industry-leading gaming products help digital athletes, from casual gamers to committed professionals, perform at their peak across PC or console platforms, and our streaming products enable creators to produce studio-quality content to share with friends or to broadcast to millions of fans. Our PC components products offer our customers multiple options to build their customized gaming and workstation desktop PCs. Our solution is the most complete suite of products that address the most critical components for both game performance and streaming. Our product offering is enhanced by our two proprietary software platforms: iCUE for gamers and the Elgato streaming suite for content creators, including our Stream Deck control software, which provide unified, intuitive performance, and aesthetic control and customization across their respective product families. We also offer digital services to enhance the customer experience by integrating esports, coaching, Elgato's marketplace, customer care and extended warranty into our product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group our products into two categories (operating segments):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Gamer and Creator Peripherals. </w:t>
      </w:r>
      <w:r>
        <w:rPr>
          <w:rFonts w:ascii="Times New Roman" w:hAnsi="Times New Roman"/>
          <w:color w:val="000000"/>
          <w:sz w:val="20"/>
        </w:rPr>
        <w:t>Includes our high-performance gaming keyboards, mice, headsets, controllers, and streaming products, which includes capture cards, Stream Decks, microphones and audio interfaces, our Facecam streaming cameras, studio accessories, and gaming furniture, among others.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Gaming Components and Systems. </w:t>
      </w:r>
      <w:r>
        <w:rPr>
          <w:rFonts w:ascii="Times New Roman" w:hAnsi="Times New Roman"/>
          <w:color w:val="000000"/>
          <w:sz w:val="20"/>
        </w:rPr>
        <w:t>Includes our high-performance power supply units, or PSUs, cooling solutions, computer cases, and DRAM modules, as well as high-end prebuilt and custom-built gaming PCs and laptops, and gaming monitors, among others.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May 15, 2024, one of our fully consolidated subsidiaries, Corsair Components Ltd, or CCL, agreed to provide short-term financing to Endor AG, a German public company, or Endor, in the form of a bridge loan, pursuant to a bridge loan agreement between Endor and CCL, or the Bridge Loan Agreement. Endor owns Fanatec brand, and is a leading manufacturer of sim racing hardware. The Bridge Loan Agreement was entered into in connection with a Letter of Intent (the “LOI”) executed on the same day with Endor for a potential acquisition of Endor. </w:t>
      </w:r>
      <w:r>
        <w:rPr>
          <w:rFonts w:ascii="Times New Roman" w:hAnsi="Times New Roman"/>
          <w:color w:val="000000"/>
          <w:sz w:val="19"/>
        </w:rPr>
        <w:t>As of the date of this filing, the LOI has expired, and on July 30, 2024, Endor announced it has filed for the German insolvency proceedings (the “Insolvency Proceedings”) and has commenced work on the various steps involved in the Insolvency Proceedings. Per terms of the Bridge Loan Agreement, CCL has no obligation to disburse any more funds on the expiration of the LOI and Endor's insolvency filing. Once Endor’s Insolvency Plan is approved by the German Court, we expect the outstanding amount of the Bridge Loan receivable, including the accrued interest to be repaid to CCL. We expect the Insolvency Proceedings to be completed within six months from their commencement date.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Summary of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net revenue was $261.3 million and $325.4 million for the three months ended June 30, 2024,and 2023, respectively. Our gross margin was 24.1% and 25.5% for the three months ended June 30, 2024 and 2023, respectively. We had a net loss of $23.5 million and $4.1 million for the three months ended June 30,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we had cash and restricted cash, in the aggregate of $94.6 million and the principal balance outstanding on our Term Loan was $180.9 million. Cash used in operations was $44.8 million for the six months ended June 30, 2024, and cash provided by operations was $44.0 million for the six months ended June 30,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Factors Affecting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financial condition are affected by numerous factors, including those discussed under the heading “Risk Factors” in Part I, Item 1A of our Annual Report on Form 10-K for the year ended December 31, 2023 and those described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20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Macroeconomic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financial performance depend significantly on worldwide economic conditions. We continue to face global macroeconomic challenges including the ongoing effects of geopolitical conflicts, such as the ongoing war between Russia and Ukraine, the ongoing conflict in Gaza, including the heightened tensions in the Red Sea, and any potential conflicts between China and Taiwan, supply chain constraints, uncertainty in key financial markets and the risk of a recession, inflationary trends, volatility in exchange rates and evolving dynamics in the global trade environment. We also experience seasonality in the sale of our products, which may be affected by general economic conditions. The extent of the impact of macroeconomic conditions and geopolitical tensions on our business, sales, results of operations, cash flows and financial condition will depend on future developments, which are not within our control and are highly uncertain and cannot be predicted. We will continue to evaluate these risks and uncertainties and further our mitigation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fluctuations in foreign currency exchange rates. As a result of our foreign sales and operations, we have revenue, payroll and other operating expenses denominated in foreign currencies, in particular the Chinese Yuan, Euro and British Pound. Unfavorable movement in the exchange rate between the U.S. dollar and the currencies we conduct sales or operate in may negatively impact our financial results. While the foreign currency fluctuations did not have a material impact to our operating results for the six months ending June 30, 2024, there can be no assurance that future foreign currency fluctuations will not have a material impact to our operating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Industry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financial condition are impacted by industry trends in the gaming market,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Increasing gaming engagement. </w:t>
      </w:r>
      <w:r>
        <w:rPr>
          <w:rFonts w:ascii="Times New Roman" w:hAnsi="Times New Roman"/>
          <w:color w:val="000000"/>
          <w:sz w:val="20"/>
        </w:rPr>
        <w:t>We believe that gaming’s increasing time share of global entertainment consumption will drive continued growth in spending on both games and gaming products. Gaming continues to become increasingly social, as streaming viewership becomes more widely adopted along with increasing numbers of content creators. More members of the younger generation are gamers and spend more time on gaming related activities than older generations. These trends will over time bring more gamers and creators to purchase dedicated hardware and grow the market for peripheral products. The growth of this market will not be linear, as it is impacted by macro-economic and consumer confidence conditions. Our Gaming Components and Systems segment makes components used for self-built PCs and full gaming systems. The self-built PC market is heavily influenced by the timing of release of new game titles and next-gen CPUs and GPUs, as discussed in the bullet below. As for the peripherals market, during the first half of 2024, our Gamer and Creator Peripherals segment benefited from a slight improvement in the peripherals market compared to the same period last year. We were also able to increase our sales in this segment through expanding our product offerings, such as the Teleprompters, PC controllers and mobile controllers, and several new keyboards. We expect this trend to continue into the second half of 2024 and in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Introduction of new high-performance computing hardware and sophisticated games</w:t>
      </w:r>
      <w:r>
        <w:rPr>
          <w:rFonts w:ascii="Times New Roman" w:hAnsi="Times New Roman"/>
          <w:color w:val="000000"/>
          <w:sz w:val="20"/>
        </w:rPr>
        <w:t xml:space="preserve">. We believe that the introduction of more powerful CPUs and GPUs that place increased demands on other system components, such as memory, power supply or cooling, has a significant effect on increasing the demand for our products. In addition, we believe that the introduction and success of games with sophisticated graphics that place increasing demands on system processing speed and capacity and therefore require more powerful CPUs or GPUs,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 During 2023, we experienced overall demand increase for our gaming components and systems products primarily driven by the self-built PC market expansion from the increase in availability in late 2022 of new and reasonably priced GPUs and CPUs as well as the release of new game titles. In 2024, we are mid-cycle for new GPU platforms, and as a result, we do not expect a similar increase in demand driven by these new GPU platforms and </w:t>
      </w:r>
      <w:r>
        <w:rPr>
          <w:rFonts w:ascii="Times New Roman" w:hAnsi="Times New Roman"/>
          <w:color w:val="000000"/>
          <w:sz w:val="20"/>
          <w:u w:val="single"/>
        </w:rPr>
        <w:t>some highly</w:t>
      </w:r>
      <w:r>
        <w:rPr>
          <w:color w:val="000000"/>
        </w:rPr>
        <w:t xml:space="preserve"> </w:t>
      </w:r>
      <w:r>
        <w:rPr>
          <w:rFonts w:ascii="Times New Roman" w:hAnsi="Times New Roman"/>
          <w:color w:val="000000"/>
          <w:sz w:val="20"/>
        </w:rPr>
        <w:t>anticipated</w:t>
      </w:r>
      <w:r>
        <w:rPr>
          <w:color w:val="000000"/>
          <w:u w:val="single"/>
        </w:rPr>
        <w:t xml:space="preserve"> </w:t>
      </w:r>
      <w:r>
        <w:rPr>
          <w:rFonts w:ascii="Times New Roman" w:hAnsi="Times New Roman"/>
          <w:color w:val="000000"/>
          <w:sz w:val="20"/>
          <w:u w:val="single"/>
        </w:rPr>
        <w:t>game title releases</w:t>
      </w:r>
      <w:r>
        <w:rPr>
          <w:color w:val="000000"/>
        </w:rPr>
        <w:t xml:space="preserve"> </w:t>
      </w:r>
      <w:r>
        <w:rPr>
          <w:rFonts w:ascii="Times New Roman" w:hAnsi="Times New Roman"/>
          <w:color w:val="000000"/>
          <w:sz w:val="20"/>
        </w:rPr>
        <w:t xml:space="preserve">until the next substantial GPU launch which is </w:t>
      </w:r>
      <w:r>
        <w:rPr>
          <w:rFonts w:ascii="Times New Roman" w:hAnsi="Times New Roman"/>
          <w:color w:val="000000"/>
          <w:sz w:val="20"/>
          <w:u w:val="single"/>
        </w:rPr>
        <w:t xml:space="preserve">now expected in </w:t>
      </w:r>
      <w:r>
        <w:rPr>
          <w:rFonts w:ascii="Times New Roman" w:hAnsi="Times New Roman"/>
          <w:color w:val="000000"/>
          <w:sz w:val="20"/>
        </w:rPr>
        <w:t>late 2024 and 2025. The slowdown in the self-built PC market activity in the first half of 2024, led to a decrease in demand for our products in the Gaming Components and Systems segment in the six months ended June 30,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Customer Concentration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a global sales network that consists primarily of retailers (including e-retailers), as well as distributors we use to access certain retailers. Further, a limited number of retailers and distributors represent a significant portion of our net revenue, with e-retailer Amazon accounting for 29.7% and 28.0% of our net revenue for the six months ended June 30, 2024 and 2023, respectively, and sales to our ten largest customers accounting for approximately 52.6% and 54.8% of our net revenue for the six months ended June 30, 2024 and 2023, respectively. Our customers, including Amazon, typically do not enter into long-term agreements to purchase our products but instead enter into purchase orders with us. As a result of this concentration and the lack of long-term agreements with our customers, a primary driver of our net revenue and operating performance is maintaining good relationships with these retailers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21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distributors. To help maintain good relationships, we implement initiatives such as our updated packaging design which helps e-retailers such as Amazon process our packages more efficiently. Further, given our global operations, a significant percentage of our expenses relate to shipping costs. Our ability to effectively optimize these shipping costs, for example utilizing expensive shipping options such as air freight for smaller packages and more urgent deliveries and more cost-efficient options, such as ground or ocean freight, for other shipments, has an impact on our expenses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New Product Introductions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Gamers demand new technology and product features, and we expect our ability to accurately anticipate and meet these demands will be one of the main drivers for any future sales growth and market share expansion. In the last few years, we have entered into several new markets, for example the cameras market for content creators and the gaming monitors market for both gamers and content creators. We launched 108 and 39 new products in 2023 and in the six months ended June 30, 2024, respectively. While we intend to continue to develop and release new products, there can be no assurance that our new product introductions will have a favorable impact on our operating results or that customers will choose our new products over those of our competitors.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Seasonal Sales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and expect to continue to experience seasonal fluctuations in sales due to the buying patterns of our customers and spending patterns of gamers. Our net revenue has generally been lower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quarters due to seasonal sales such as “Black Friday” and “Cyber Monday” as well as “Singles Day” in China, as retailers tend to make purchases in advance of these sales.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Historical seasonal patterns may not continue in the future and may be further impacted in the future, by macroeconomic factors, increasing supply constraints, GPU shortages, and shifts in customer behavior.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Product Mix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Gamer and Creator Peripherals segment has a higher gross margin than our Gaming Components and Systems segment. 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Fluctuations in Integrated Circuits Pricing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Integrated circuits, or ICs, account for most of the cost of producing our high-performance 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our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materially all of our net revenue from the sale of gamer and creator peripherals and gaming components and systems to retailers, including e-retailers, gamers and distributors worldwide. Our revenue is recognized net of allowances for returns, discounts, sales incentives and any taxes collected from customers.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consists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excess and obsolete inventory write-downs, and certain allocated costs related to facilities and information technology, or IT, and personnel-related expenses and other operating expenses related to supply chain logistics.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22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consist of sales, general and administrative expenses and product development expenses.</w:t>
      </w:r>
    </w:p>
    <w:p>
      <w:pPr>
        <w:pStyle w:val="TextBody"/>
        <w:bidi w:val="0"/>
        <w:spacing w:before="120" w:after="283"/>
        <w:jc w:val="left"/>
        <w:rPr>
          <w:rFonts w:ascii="Times New Roman" w:hAnsi="Times New Roman"/>
          <w:sz w:val="20"/>
        </w:rPr>
      </w:pPr>
      <w:r>
        <w:rPr>
          <w:rFonts w:ascii="Times New Roman" w:hAnsi="Times New Roman"/>
          <w:i/>
          <w:color w:val="000000"/>
          <w:sz w:val="20"/>
        </w:rPr>
        <w:t>Sales,</w:t>
      </w:r>
      <w:r>
        <w:rPr>
          <w:rFonts w:ascii="Times New Roman" w:hAnsi="Times New Roman"/>
          <w:color w:val="000000"/>
          <w:sz w:val="20"/>
        </w:rPr>
        <w:t xml:space="preserve"> </w:t>
      </w:r>
      <w:r>
        <w:rPr>
          <w:rFonts w:ascii="Times New Roman" w:hAnsi="Times New Roman"/>
          <w:i/>
          <w:color w:val="000000"/>
          <w:sz w:val="20"/>
        </w:rPr>
        <w:t>general</w:t>
      </w:r>
      <w:r>
        <w:rPr>
          <w:rFonts w:ascii="Times New Roman" w:hAnsi="Times New Roman"/>
          <w:color w:val="000000"/>
          <w:sz w:val="20"/>
        </w:rPr>
        <w:t xml:space="preserve"> </w:t>
      </w:r>
      <w:r>
        <w:rPr>
          <w:rFonts w:ascii="Times New Roman" w:hAnsi="Times New Roman"/>
          <w:i/>
          <w:color w:val="000000"/>
          <w:sz w:val="20"/>
        </w:rPr>
        <w:t>and</w:t>
      </w:r>
      <w:r>
        <w:rPr>
          <w:rFonts w:ascii="Times New Roman" w:hAnsi="Times New Roman"/>
          <w:color w:val="000000"/>
          <w:sz w:val="20"/>
        </w:rPr>
        <w:t xml:space="preserve"> </w:t>
      </w:r>
      <w:r>
        <w:rPr>
          <w:rFonts w:ascii="Times New Roman" w:hAnsi="Times New Roman"/>
          <w:i/>
          <w:color w:val="000000"/>
          <w:sz w:val="20"/>
        </w:rPr>
        <w:t>administrative.</w:t>
      </w:r>
      <w:r>
        <w:rPr>
          <w:rFonts w:ascii="Times New Roman" w:hAnsi="Times New Roman"/>
          <w:color w:val="000000"/>
          <w:sz w:val="20"/>
        </w:rPr>
        <w:t xml:space="preserve"> Sales, general and administrative, or SG&amp;A, expenses represent the largest component of our operating expenses and consist of 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personnel-related cost and allocated overhead costs. General and administrative costs consist primarily of personnel-related expenses for our finance, legal, human resources, IT and administrative personnel, as well as the costs of professional services related to these functions and allocated overhead costs.</w:t>
      </w:r>
    </w:p>
    <w:p>
      <w:pPr>
        <w:pStyle w:val="TextBody"/>
        <w:bidi w:val="0"/>
        <w:spacing w:before="120" w:after="283"/>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Product development costs are generally expensed as incurred. Product development costs consist primarily of the costs associated with the design and testing of new products and improvements to existing products. These costs relate primarily to compensation of personnel and consultants involved with product design, definition, compatibility testing and qualification, as well as depreciation costs of equipment used, prototype material costs and allocated overhead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interest associated with our debt financing arrangements, including our revolving line of credit, and amortization of debt issuance costs and debt discounts.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of interest earned on interest-bearing bank deposits and interest-bearing Bridge Loan, net of amortization of Bridge Loan origination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net consists primarily of our foreign currency exchange gains and losses relating to transactions and remeasurement of asset and liability balances denominated in foreign currencies, and net fair value gains and losses from our foreign currency forward contracts.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Income Attributable to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attributable to noncontrolling interest represents the share of the net income of subsidiaries in which we own less than 100% of the equity attributable to the ownership interest that we did not acquire.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23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the components of our condensed consolidated statements of operations, in dollars (thousands) and as a percentage of total net revenue, for each of the periods presented.</w:t>
      </w:r>
    </w:p>
    <w:tbl>
      <w:tblPr>
        <w:tblW w:w="10097" w:type="dxa"/>
        <w:jc w:val="left"/>
        <w:tblInd w:w="0" w:type="dxa"/>
        <w:tblLayout w:type="fixed"/>
        <w:tblCellMar>
          <w:top w:w="28" w:type="dxa"/>
          <w:left w:w="28" w:type="dxa"/>
          <w:bottom w:w="28" w:type="dxa"/>
          <w:right w:w="28" w:type="dxa"/>
        </w:tblCellMar>
      </w:tblPr>
      <w:tblGrid>
        <w:gridCol w:w="4736"/>
        <w:gridCol w:w="146"/>
        <w:gridCol w:w="211"/>
        <w:gridCol w:w="781"/>
        <w:gridCol w:w="166"/>
        <w:gridCol w:w="146"/>
        <w:gridCol w:w="211"/>
        <w:gridCol w:w="781"/>
        <w:gridCol w:w="166"/>
        <w:gridCol w:w="146"/>
        <w:gridCol w:w="211"/>
        <w:gridCol w:w="781"/>
        <w:gridCol w:w="166"/>
        <w:gridCol w:w="146"/>
        <w:gridCol w:w="211"/>
        <w:gridCol w:w="781"/>
        <w:gridCol w:w="311"/>
      </w:tblGrid>
      <w:tr>
        <w:trPr/>
        <w:tc>
          <w:tcPr>
            <w:tcW w:w="4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73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4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679,396</w:t>
            </w:r>
          </w:p>
        </w:tc>
        <w:tc>
          <w:tcPr>
            <w:tcW w:w="311" w:type="dxa"/>
            <w:tcBorders/>
            <w:shd w:fill="CFF0FC" w:val="clear"/>
            <w:vAlign w:val="center"/>
          </w:tcPr>
          <w:p>
            <w:pPr>
              <w:pStyle w:val="TableContents"/>
              <w:bidi w:val="0"/>
              <w:spacing w:before="0" w:after="283"/>
              <w:jc w:val="left"/>
              <w:rPr/>
            </w:pPr>
            <w:r>
              <w:rPr/>
              <w:t> </w:t>
            </w:r>
          </w:p>
        </w:tc>
      </w:tr>
      <w:tr>
        <w:trPr/>
        <w:tc>
          <w:tcPr>
            <w:tcW w:w="4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511,160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168,236</w:t>
            </w:r>
          </w:p>
        </w:tc>
        <w:tc>
          <w:tcPr>
            <w:tcW w:w="311" w:type="dxa"/>
            <w:tcBorders/>
            <w:shd w:fill="CFF0FC" w:val="clear"/>
            <w:vAlign w:val="center"/>
          </w:tcPr>
          <w:p>
            <w:pPr>
              <w:pStyle w:val="TableContents"/>
              <w:bidi w:val="0"/>
              <w:spacing w:before="0" w:after="283"/>
              <w:jc w:val="left"/>
              <w:rPr/>
            </w:pPr>
            <w:r>
              <w:rPr/>
              <w:t> </w:t>
            </w:r>
          </w:p>
        </w:tc>
      </w:tr>
      <w:tr>
        <w:trPr/>
        <w:tc>
          <w:tcPr>
            <w:tcW w:w="4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47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7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169,913</w:t>
            </w:r>
          </w:p>
        </w:tc>
        <w:tc>
          <w:tcPr>
            <w:tcW w:w="311" w:type="dxa"/>
            <w:tcBorders/>
            <w:shd w:fill="CFF0FC" w:val="clear"/>
            <w:vAlign w:val="center"/>
          </w:tcPr>
          <w:p>
            <w:pPr>
              <w:pStyle w:val="TableContents"/>
              <w:bidi w:val="0"/>
              <w:spacing w:before="0" w:after="283"/>
              <w:jc w:val="left"/>
              <w:rPr/>
            </w:pPr>
            <w:r>
              <w:rPr/>
              <w:t> </w:t>
            </w:r>
          </w:p>
        </w:tc>
      </w:tr>
      <w:tr>
        <w:trPr/>
        <w:tc>
          <w:tcPr>
            <w:tcW w:w="4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47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(8,798</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7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Corsair Gaming, Inc.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4736"/>
        <w:gridCol w:w="146"/>
        <w:gridCol w:w="146"/>
        <w:gridCol w:w="571"/>
        <w:gridCol w:w="331"/>
        <w:gridCol w:w="146"/>
        <w:gridCol w:w="146"/>
        <w:gridCol w:w="571"/>
        <w:gridCol w:w="331"/>
        <w:gridCol w:w="146"/>
        <w:gridCol w:w="146"/>
        <w:gridCol w:w="571"/>
        <w:gridCol w:w="331"/>
        <w:gridCol w:w="146"/>
        <w:gridCol w:w="146"/>
        <w:gridCol w:w="571"/>
        <w:gridCol w:w="376"/>
      </w:tblGrid>
      <w:tr>
        <w:trPr/>
        <w:tc>
          <w:tcPr>
            <w:tcW w:w="4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376" w:type="dxa"/>
            <w:tcBorders/>
            <w:shd w:fill="FFFFFF" w:val="clear"/>
            <w:vAlign w:val="center"/>
          </w:tcPr>
          <w:p>
            <w:pPr>
              <w:pStyle w:val="TableContents"/>
              <w:bidi w:val="0"/>
              <w:spacing w:before="0" w:after="283"/>
              <w:jc w:val="center"/>
              <w:rPr/>
            </w:pPr>
            <w:r>
              <w:rPr/>
              <w:t> </w:t>
            </w:r>
          </w:p>
        </w:tc>
      </w:tr>
      <w:tr>
        <w:trPr/>
        <w:tc>
          <w:tcPr>
            <w:tcW w:w="4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76" w:type="dxa"/>
            <w:tcBorders/>
            <w:shd w:fill="CFF0FC" w:val="clear"/>
            <w:vAlign w:val="center"/>
          </w:tcPr>
          <w:p>
            <w:pPr>
              <w:pStyle w:val="TableContents"/>
              <w:bidi w:val="0"/>
              <w:spacing w:before="0" w:after="283"/>
              <w:jc w:val="left"/>
              <w:rPr/>
            </w:pPr>
            <w:r>
              <w:rPr/>
              <w:t> </w:t>
            </w:r>
          </w:p>
        </w:tc>
      </w:tr>
      <w:tr>
        <w:trPr/>
        <w:tc>
          <w:tcPr>
            <w:tcW w:w="4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376" w:type="dxa"/>
            <w:tcBorders/>
            <w:shd w:fill="FFFFFF" w:val="clear"/>
            <w:vAlign w:val="center"/>
          </w:tcPr>
          <w:p>
            <w:pPr>
              <w:pStyle w:val="TableContents"/>
              <w:bidi w:val="0"/>
              <w:spacing w:before="0" w:after="283"/>
              <w:ind w:left="0" w:right="0" w:firstLine="100"/>
              <w:jc w:val="right"/>
              <w:rPr/>
            </w:pPr>
            <w:r>
              <w:rPr/>
              <w:t> </w:t>
            </w:r>
          </w:p>
        </w:tc>
      </w:tr>
      <w:tr>
        <w:trPr/>
        <w:tc>
          <w:tcPr>
            <w:tcW w:w="47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76" w:type="dxa"/>
            <w:tcBorders/>
            <w:shd w:fill="CFF0FC" w:val="clear"/>
            <w:vAlign w:val="center"/>
          </w:tcPr>
          <w:p>
            <w:pPr>
              <w:pStyle w:val="TableContents"/>
              <w:bidi w:val="0"/>
              <w:spacing w:before="0" w:after="283"/>
              <w:ind w:left="0" w:right="0" w:firstLine="100"/>
              <w:jc w:val="left"/>
              <w:rPr/>
            </w:pPr>
            <w:r>
              <w:rPr/>
              <w:t> </w:t>
            </w:r>
          </w:p>
        </w:tc>
      </w:tr>
      <w:tr>
        <w:trPr/>
        <w:tc>
          <w:tcPr>
            <w:tcW w:w="47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right"/>
              <w:rPr/>
            </w:pPr>
            <w:r>
              <w:rPr/>
              <w:t> </w:t>
            </w:r>
          </w:p>
        </w:tc>
        <w:tc>
          <w:tcPr>
            <w:tcW w:w="376" w:type="dxa"/>
            <w:tcBorders/>
            <w:shd w:fill="CFF0FC" w:val="clear"/>
            <w:vAlign w:val="center"/>
          </w:tcPr>
          <w:p>
            <w:pPr>
              <w:pStyle w:val="TableContents"/>
              <w:bidi w:val="0"/>
              <w:spacing w:before="0" w:after="283"/>
              <w:ind w:left="0" w:right="0" w:firstLine="100"/>
              <w:jc w:val="right"/>
              <w:rPr/>
            </w:pPr>
            <w:r>
              <w:rPr/>
              <w:t> </w:t>
            </w:r>
          </w:p>
        </w:tc>
      </w:tr>
      <w:tr>
        <w:trPr/>
        <w:tc>
          <w:tcPr>
            <w:tcW w:w="47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6" w:type="dxa"/>
            <w:tcBorders/>
            <w:shd w:fill="CFF0FC" w:val="clear"/>
            <w:vAlign w:val="center"/>
          </w:tcPr>
          <w:p>
            <w:pPr>
              <w:pStyle w:val="TableContents"/>
              <w:bidi w:val="0"/>
              <w:spacing w:before="0" w:after="283"/>
              <w:ind w:left="0" w:right="0" w:firstLine="100"/>
              <w:jc w:val="left"/>
              <w:rPr/>
            </w:pPr>
            <w:r>
              <w:rPr/>
              <w:t> </w:t>
            </w:r>
          </w:p>
        </w:tc>
      </w:tr>
      <w:tr>
        <w:trPr/>
        <w:tc>
          <w:tcPr>
            <w:tcW w:w="47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attributable to Corsair Gaming, Inc.</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Revenue</w:t>
      </w:r>
    </w:p>
    <w:tbl>
      <w:tblPr>
        <w:tblW w:w="6277" w:type="dxa"/>
        <w:jc w:val="left"/>
        <w:tblInd w:w="0" w:type="dxa"/>
        <w:tblLayout w:type="fixed"/>
        <w:tblCellMar>
          <w:top w:w="28" w:type="dxa"/>
          <w:left w:w="28" w:type="dxa"/>
          <w:bottom w:w="28" w:type="dxa"/>
          <w:right w:w="28" w:type="dxa"/>
        </w:tblCellMar>
      </w:tblPr>
      <w:tblGrid>
        <w:gridCol w:w="1096"/>
        <w:gridCol w:w="146"/>
        <w:gridCol w:w="211"/>
        <w:gridCol w:w="781"/>
        <w:gridCol w:w="146"/>
        <w:gridCol w:w="146"/>
        <w:gridCol w:w="211"/>
        <w:gridCol w:w="781"/>
        <w:gridCol w:w="146"/>
        <w:gridCol w:w="146"/>
        <w:gridCol w:w="211"/>
        <w:gridCol w:w="781"/>
        <w:gridCol w:w="146"/>
        <w:gridCol w:w="146"/>
        <w:gridCol w:w="211"/>
        <w:gridCol w:w="781"/>
        <w:gridCol w:w="1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84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679,396</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revenue decreased by 19.7% and 11.9% for the three and six months ended June 30, 2024, respectively, as compared to the same periods last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24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decrease in net revenue in the three-month period was due to a 32.3% decrease in sales for our Gaming Components and Systems segment, which was partially offset by a 19.6% increase in sales for our Gamer and Creator Peripherals segment.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net revenue in the six-month period was due to a 22.3% decrease in sales for our Gaming Components and Systems segment, which was partially offset by a 20.0% increase in sales for our Gamer and Creator Peripherals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discussions specific to our Gaming Components and Systems and Gamer and Creator Peripherals segments, refer to “Segment Results” section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Gross Profit and Gross Margin</w:t>
      </w:r>
    </w:p>
    <w:tbl>
      <w:tblPr>
        <w:tblW w:w="6657" w:type="dxa"/>
        <w:jc w:val="left"/>
        <w:tblInd w:w="0" w:type="dxa"/>
        <w:tblLayout w:type="fixed"/>
        <w:tblCellMar>
          <w:top w:w="28" w:type="dxa"/>
          <w:left w:w="28" w:type="dxa"/>
          <w:bottom w:w="28" w:type="dxa"/>
          <w:right w:w="28" w:type="dxa"/>
        </w:tblCellMar>
      </w:tblPr>
      <w:tblGrid>
        <w:gridCol w:w="1186"/>
        <w:gridCol w:w="146"/>
        <w:gridCol w:w="211"/>
        <w:gridCol w:w="676"/>
        <w:gridCol w:w="271"/>
        <w:gridCol w:w="146"/>
        <w:gridCol w:w="211"/>
        <w:gridCol w:w="676"/>
        <w:gridCol w:w="271"/>
        <w:gridCol w:w="146"/>
        <w:gridCol w:w="211"/>
        <w:gridCol w:w="781"/>
        <w:gridCol w:w="271"/>
        <w:gridCol w:w="146"/>
        <w:gridCol w:w="211"/>
        <w:gridCol w:w="781"/>
        <w:gridCol w:w="31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00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vAlign w:val="center"/>
          </w:tcPr>
          <w:p>
            <w:pPr>
              <w:pStyle w:val="TableContents"/>
              <w:bidi w:val="0"/>
              <w:spacing w:before="0" w:after="283"/>
              <w:jc w:val="center"/>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82,832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149,724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168,236</w:t>
            </w:r>
          </w:p>
        </w:tc>
        <w:tc>
          <w:tcPr>
            <w:tcW w:w="316"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 decreased by 1.4% for the three months ended June 30, 2024, as compared to the same period last year. Higher spending on promotional activities as a proportion of net revenue of our Gaming Components and Systems segment accounted for 1.8% of the decrease, while higher product costs from suppliers and factory underutilization accounted for 0.9% of the decrease. The decrease was partially offset by 1.6% from an improved product mix shift with more sales in the Gamer and Creator Peripherals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 increased by 0.2% for the six months ended June 30, 2024, as compared to the same period last year. 1.4% of the increase was primarily attributable to an improved product mix shift with more sales in the Gamer and Creator Peripherals segment, which was partially offset by a 1.0% from higher spending on promotional activities as a proportion of net revenue of our Gaming Components and Systems segment for the six months ended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discussions specific to our Gaming Components and Systems and Gamer and Creator Peripherals segments, refer to the “Segment Results” section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Sales, General and Administrative (SG&amp;A)</w:t>
      </w:r>
    </w:p>
    <w:tbl>
      <w:tblPr>
        <w:tblW w:w="7762" w:type="dxa"/>
        <w:jc w:val="left"/>
        <w:tblInd w:w="0" w:type="dxa"/>
        <w:tblLayout w:type="fixed"/>
        <w:tblCellMar>
          <w:top w:w="28" w:type="dxa"/>
          <w:left w:w="28" w:type="dxa"/>
          <w:bottom w:w="28" w:type="dxa"/>
          <w:right w:w="28" w:type="dxa"/>
        </w:tblCellMar>
      </w:tblPr>
      <w:tblGrid>
        <w:gridCol w:w="2791"/>
        <w:gridCol w:w="146"/>
        <w:gridCol w:w="211"/>
        <w:gridCol w:w="676"/>
        <w:gridCol w:w="146"/>
        <w:gridCol w:w="146"/>
        <w:gridCol w:w="211"/>
        <w:gridCol w:w="676"/>
        <w:gridCol w:w="146"/>
        <w:gridCol w:w="146"/>
        <w:gridCol w:w="211"/>
        <w:gridCol w:w="781"/>
        <w:gridCol w:w="146"/>
        <w:gridCol w:w="146"/>
        <w:gridCol w:w="211"/>
        <w:gridCol w:w="781"/>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7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3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SG&amp;A expenses increased by $0.4 million, or 0.6%, for the three months ended June 30, 2024 as compared to the same period last year primarily due to a $1.1 million increase in professional service costs and a $0.6 million increase in marketing and advertising costs, which were partially offset by a $1.7 million decrease in personnel-related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SG&amp;A expenses increased by $13.1 million, or 9.5%, for the six months ended June 30, 2024 as compared to the same period last year primarily due to a $7.9 million increase in legal expense mainly attributable to a one-time settlement, a $2.2 million increase in distribution costs, largely attributable to rationalization costs for distribution hubs as well as increased freight costs, and a $1.2 million increase in marketing and advertising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Development</w:t>
      </w:r>
    </w:p>
    <w:tbl>
      <w:tblPr>
        <w:tblW w:w="6622" w:type="dxa"/>
        <w:jc w:val="left"/>
        <w:tblInd w:w="0" w:type="dxa"/>
        <w:tblLayout w:type="fixed"/>
        <w:tblCellMar>
          <w:top w:w="28" w:type="dxa"/>
          <w:left w:w="28" w:type="dxa"/>
          <w:bottom w:w="28" w:type="dxa"/>
          <w:right w:w="28" w:type="dxa"/>
        </w:tblCellMar>
      </w:tblPr>
      <w:tblGrid>
        <w:gridCol w:w="1861"/>
        <w:gridCol w:w="146"/>
        <w:gridCol w:w="211"/>
        <w:gridCol w:w="676"/>
        <w:gridCol w:w="146"/>
        <w:gridCol w:w="146"/>
        <w:gridCol w:w="211"/>
        <w:gridCol w:w="676"/>
        <w:gridCol w:w="146"/>
        <w:gridCol w:w="146"/>
        <w:gridCol w:w="211"/>
        <w:gridCol w:w="676"/>
        <w:gridCol w:w="146"/>
        <w:gridCol w:w="146"/>
        <w:gridCol w:w="211"/>
        <w:gridCol w:w="67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2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32,431</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development expenses increased by $1.8 million, or 11.7%, for the three months ended June 30, 2024 as compared to the same period last year primarily due to a $0.7 million increase in personnel-related costs and a $0.6 million increase in consulting and contractor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development expenses increased by $1.6 million, or 5.0%, for the six months ended June 30, 2024 as compared to the same period last year primarily due to a $1.6 million increase in personnel-related costs from increase in headcount.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25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 Interest Income and Other Expense, Net</w:t>
      </w:r>
    </w:p>
    <w:tbl>
      <w:tblPr>
        <w:tblW w:w="6282" w:type="dxa"/>
        <w:jc w:val="left"/>
        <w:tblInd w:w="0" w:type="dxa"/>
        <w:tblLayout w:type="fixed"/>
        <w:tblCellMar>
          <w:top w:w="28" w:type="dxa"/>
          <w:left w:w="28" w:type="dxa"/>
          <w:bottom w:w="28" w:type="dxa"/>
          <w:right w:w="28" w:type="dxa"/>
        </w:tblCellMar>
      </w:tblPr>
      <w:tblGrid>
        <w:gridCol w:w="1621"/>
        <w:gridCol w:w="146"/>
        <w:gridCol w:w="211"/>
        <w:gridCol w:w="631"/>
        <w:gridCol w:w="166"/>
        <w:gridCol w:w="146"/>
        <w:gridCol w:w="211"/>
        <w:gridCol w:w="631"/>
        <w:gridCol w:w="166"/>
        <w:gridCol w:w="146"/>
        <w:gridCol w:w="211"/>
        <w:gridCol w:w="631"/>
        <w:gridCol w:w="166"/>
        <w:gridCol w:w="146"/>
        <w:gridCol w:w="211"/>
        <w:gridCol w:w="631"/>
        <w:gridCol w:w="21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0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16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211" w:type="dxa"/>
            <w:tcBorders/>
            <w:shd w:fill="FFFFFF" w:val="clear"/>
            <w:vAlign w:val="center"/>
          </w:tcPr>
          <w:p>
            <w:pPr>
              <w:pStyle w:val="TableContents"/>
              <w:bidi w:val="0"/>
              <w:spacing w:before="0" w:after="283"/>
              <w:jc w:val="left"/>
              <w:rPr/>
            </w:pPr>
            <w:r>
              <w:rPr/>
              <w:t> </w:t>
            </w:r>
          </w:p>
        </w:tc>
      </w:tr>
      <w:tr>
        <w:trPr/>
        <w:tc>
          <w:tcPr>
            <w:tcW w:w="16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decreased by 23.6% and 19.0% for the three and six months ended June 30, 2024, respectively, as compared to the same periods last year primarily due to lower principal balance on our Term Loan, which was partially offset by higher interest rates on our Term Loan in the three and six months ended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by 41.5% and 21.1% for the three and six months ended June 30, 2024 and 2023, respectively, as compared to the same periods last year primarily due to lower cash balance in our interest-bearing account.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net is primarily comprised of foreign exchange gains and losses on cash, accounts receivable and intercompany balances denominated in currencies other than the functional currencies of our subsidiaries. Our foreign currency exposure is primarily driven by fluctuations in the foreign currency exchanges rates of the Euro, British Pound and the Chinese Yuan.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 Benefit</w:t>
      </w:r>
    </w:p>
    <w:tbl>
      <w:tblPr>
        <w:tblW w:w="7452" w:type="dxa"/>
        <w:jc w:val="left"/>
        <w:tblInd w:w="0" w:type="dxa"/>
        <w:tblLayout w:type="fixed"/>
        <w:tblCellMar>
          <w:top w:w="28" w:type="dxa"/>
          <w:left w:w="28" w:type="dxa"/>
          <w:bottom w:w="28" w:type="dxa"/>
          <w:right w:w="28" w:type="dxa"/>
        </w:tblCellMar>
      </w:tblPr>
      <w:tblGrid>
        <w:gridCol w:w="2161"/>
        <w:gridCol w:w="146"/>
        <w:gridCol w:w="211"/>
        <w:gridCol w:w="736"/>
        <w:gridCol w:w="271"/>
        <w:gridCol w:w="146"/>
        <w:gridCol w:w="211"/>
        <w:gridCol w:w="631"/>
        <w:gridCol w:w="271"/>
        <w:gridCol w:w="146"/>
        <w:gridCol w:w="211"/>
        <w:gridCol w:w="736"/>
        <w:gridCol w:w="271"/>
        <w:gridCol w:w="146"/>
        <w:gridCol w:w="211"/>
        <w:gridCol w:w="631"/>
        <w:gridCol w:w="31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82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vAlign w:val="center"/>
          </w:tcPr>
          <w:p>
            <w:pPr>
              <w:pStyle w:val="TableContents"/>
              <w:bidi w:val="0"/>
              <w:spacing w:before="0" w:after="283"/>
              <w:jc w:val="center"/>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316" w:type="dxa"/>
            <w:tcBorders/>
            <w:shd w:fill="FFFFFF" w:val="clear"/>
            <w:vAlign w:val="center"/>
          </w:tcPr>
          <w:p>
            <w:pPr>
              <w:pStyle w:val="TableContents"/>
              <w:bidi w:val="0"/>
              <w:spacing w:before="0" w:after="283"/>
              <w:jc w:val="left"/>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changes in management’s assessment of matters such as the ability to realize deferred tax assets, and changes in tax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effective tax rates were 14.5% and 35.9% for the three months ended June 30, 2024 and 2023, respectively. The decrease in our effective rate in the three-month period was primarily due to a change in the mix of income and losses in the various tax jurisdictions in which we operate, and an increase in shortfall tax deficiencies from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effective tax rates were 14.3% and 33.8% for the six months ended June 30, 2024 and 2023, respectively. The decrease in our effective rate in the six-month period was primarily due to a change in the mix of income and losses in the various tax jurisdictions in which we operate, and an increase in shortfall tax deficiencies from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15, 2022, the European Union (“EU”) Member States formally adopted the EU’s Pillar Two Directive, which generally provides for a minimum effective tax rate of 15%, as established by the Organization for Economic Co-operation and Development (“OECD”) Pillar Two Framework that was supported by over 130 countries worldwide. The EU effective dates are January 1, 2024, and January 1, 2025, for different aspects of the directive. A significant number of other countries are expected to also implement similar legislation, including United Kingdom which approved the legislation on July 11, 2023 with a full effective date of January 1, 2024. We have evaluated the potential impact from the OECD Pillar Two rules and determined that there is no impact to our financial position for the year of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26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Net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our net revenue by segment expressed both in dollars (thousands) and as a percentage of net revenue:</w:t>
      </w:r>
    </w:p>
    <w:tbl>
      <w:tblPr>
        <w:tblW w:w="10333" w:type="dxa"/>
        <w:jc w:val="left"/>
        <w:tblInd w:w="0" w:type="dxa"/>
        <w:tblLayout w:type="fixed"/>
        <w:tblCellMar>
          <w:top w:w="28" w:type="dxa"/>
          <w:left w:w="28" w:type="dxa"/>
          <w:bottom w:w="28" w:type="dxa"/>
          <w:right w:w="28" w:type="dxa"/>
        </w:tblCellMar>
      </w:tblPr>
      <w:tblGrid>
        <w:gridCol w:w="1146"/>
        <w:gridCol w:w="146"/>
        <w:gridCol w:w="196"/>
        <w:gridCol w:w="691"/>
        <w:gridCol w:w="146"/>
        <w:gridCol w:w="146"/>
        <w:gridCol w:w="146"/>
        <w:gridCol w:w="511"/>
        <w:gridCol w:w="256"/>
        <w:gridCol w:w="146"/>
        <w:gridCol w:w="196"/>
        <w:gridCol w:w="691"/>
        <w:gridCol w:w="146"/>
        <w:gridCol w:w="146"/>
        <w:gridCol w:w="146"/>
        <w:gridCol w:w="511"/>
        <w:gridCol w:w="256"/>
        <w:gridCol w:w="146"/>
        <w:gridCol w:w="196"/>
        <w:gridCol w:w="691"/>
        <w:gridCol w:w="146"/>
        <w:gridCol w:w="146"/>
        <w:gridCol w:w="146"/>
        <w:gridCol w:w="511"/>
        <w:gridCol w:w="256"/>
        <w:gridCol w:w="146"/>
        <w:gridCol w:w="196"/>
        <w:gridCol w:w="691"/>
        <w:gridCol w:w="146"/>
        <w:gridCol w:w="146"/>
        <w:gridCol w:w="146"/>
        <w:gridCol w:w="511"/>
        <w:gridCol w:w="491"/>
      </w:tblGrid>
      <w:tr>
        <w:trPr/>
        <w:tc>
          <w:tcPr>
            <w:tcW w:w="1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491" w:type="dxa"/>
            <w:tcBorders/>
            <w:shd w:fill="FFFFFF" w:val="clear"/>
            <w:vAlign w:val="center"/>
          </w:tcPr>
          <w:p>
            <w:pPr>
              <w:pStyle w:val="TableContents"/>
              <w:bidi w:val="0"/>
              <w:spacing w:before="0" w:after="283"/>
              <w:jc w:val="center"/>
              <w:rPr/>
            </w:pPr>
            <w:r>
              <w:rPr/>
              <w:t> </w:t>
            </w:r>
          </w:p>
        </w:tc>
      </w:tr>
      <w:tr>
        <w:trPr/>
        <w:tc>
          <w:tcPr>
            <w:tcW w:w="11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Gamer and Creator Peripherals Segment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201,202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167,697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4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Gaming Components and Systems Segment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1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Memory Products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206,661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1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Component Products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246,677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511,699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14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Net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325,432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598,557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679,396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Gamer and Creator Peripherals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revenue of the Gamer and Creator Peripherals segment increased by 19.6% and 20.0% for the three and six months ended June 30, 2024, respectively, as compared to the same periods last year. The increase was driven by the success of recent new product launches, increased demand for our gaming controllers and Elgato products as well as the inclusion of post-acquisition revenues from our July 2023 acquisition of Drop, a community-based e-commerce company.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Gaming Components and Systems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revenue of the Gaming Components and Systems segment decreased 32.3% and 22.3% for three and six months ended June 30, 2024, respectively, as compared to the same periods last year. The demand for our products in this segment is largely driven by the activity in the self-built PC market, which is heavily influenced by the launch of new, reasonably priced GPUs and CPUs, as well as the release of new game titles. However, in 2024, we are mid-cycle for new GPU platforms, resulting in a relatively flat-to-low market trajectory for the self-built PC market since the beginning of the year. This has led to a greater than anticipated decrease in demand for our products in this segment during both the three- and six-month periods. Additionally, we experienced a downward adjustment in inventory levels at our channel partners during the three- and six-month periods compared to an increase in channel inventory levels during the same periods last year, contributing to the lower net revenues for those periods.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Gross Profit 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our gross profit expressed in dollars (thousands) and gross margin (which we define as gross profit as a percentage of net revenue) by segment:</w:t>
      </w:r>
    </w:p>
    <w:tbl>
      <w:tblPr>
        <w:tblW w:w="10205" w:type="dxa"/>
        <w:jc w:val="left"/>
        <w:tblInd w:w="0" w:type="dxa"/>
        <w:tblLayout w:type="fixed"/>
        <w:tblCellMar>
          <w:top w:w="28" w:type="dxa"/>
          <w:left w:w="28" w:type="dxa"/>
          <w:bottom w:w="28" w:type="dxa"/>
          <w:right w:w="28" w:type="dxa"/>
        </w:tblCellMar>
      </w:tblPr>
      <w:tblGrid>
        <w:gridCol w:w="1558"/>
        <w:gridCol w:w="146"/>
        <w:gridCol w:w="196"/>
        <w:gridCol w:w="601"/>
        <w:gridCol w:w="146"/>
        <w:gridCol w:w="146"/>
        <w:gridCol w:w="146"/>
        <w:gridCol w:w="421"/>
        <w:gridCol w:w="256"/>
        <w:gridCol w:w="146"/>
        <w:gridCol w:w="196"/>
        <w:gridCol w:w="601"/>
        <w:gridCol w:w="146"/>
        <w:gridCol w:w="146"/>
        <w:gridCol w:w="146"/>
        <w:gridCol w:w="421"/>
        <w:gridCol w:w="256"/>
        <w:gridCol w:w="146"/>
        <w:gridCol w:w="196"/>
        <w:gridCol w:w="691"/>
        <w:gridCol w:w="146"/>
        <w:gridCol w:w="146"/>
        <w:gridCol w:w="146"/>
        <w:gridCol w:w="421"/>
        <w:gridCol w:w="256"/>
        <w:gridCol w:w="146"/>
        <w:gridCol w:w="196"/>
        <w:gridCol w:w="691"/>
        <w:gridCol w:w="146"/>
        <w:gridCol w:w="146"/>
        <w:gridCol w:w="146"/>
        <w:gridCol w:w="421"/>
        <w:gridCol w:w="491"/>
      </w:tblGrid>
      <w:tr>
        <w:trPr/>
        <w:tc>
          <w:tcPr>
            <w:tcW w:w="1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8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shd w:fill="FFFFFF" w:val="clear"/>
            <w:vAlign w:val="center"/>
          </w:tcPr>
          <w:p>
            <w:pPr>
              <w:pStyle w:val="TableContents"/>
              <w:bidi w:val="0"/>
              <w:spacing w:before="0" w:after="283"/>
              <w:jc w:val="center"/>
              <w:rPr/>
            </w:pPr>
            <w:r>
              <w:rPr/>
              <w:t> </w:t>
            </w:r>
          </w:p>
        </w:tc>
        <w:tc>
          <w:tcPr>
            <w:tcW w:w="491" w:type="dxa"/>
            <w:tcBorders/>
            <w:shd w:fill="FFFFFF" w:val="clear"/>
            <w:vAlign w:val="center"/>
          </w:tcPr>
          <w:p>
            <w:pPr>
              <w:pStyle w:val="TableContents"/>
              <w:bidi w:val="0"/>
              <w:spacing w:before="0" w:after="283"/>
              <w:jc w:val="center"/>
              <w:rPr/>
            </w:pPr>
            <w:r>
              <w:rPr/>
              <w:t> </w:t>
            </w:r>
          </w:p>
        </w:tc>
      </w:tr>
      <w:tr>
        <w:trPr/>
        <w:tc>
          <w:tcPr>
            <w:tcW w:w="155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Gamer and Creator Peripherals Segment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4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Gaming Components and Systems Segment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155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Memory Products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155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Component Products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8"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558"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Gross Profit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149,724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Gamer and Creator Peripherals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gross margin of the Gamer and Creator Peripherals segment increased by 5.5% for the three months ended June 30, 2024 as compared to the same period last year. The increase was primarily attributable to a 4.3% from a more favorable product mix within this segment, lower product costs from suppliers and successful launches of new products with higher average margins, and a 1.8% from lower inventory reserves, partially offset by a 0.9% from higher air freight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gross margin of the Gamer and Creator Peripherals segment increased by 8.3% for the six months ended June 30, 2024 as compared to the same period last year. The increase was primarily attributable to a 4.9% from a more favorable product mix within this segment, lower product costs from suppliers and successful launches of new products with higher average margins, and a 3.3% from lower inventory reserve, partially offset by a 1.0% from higher air freight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27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Gaming Components and Systems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gross margin of the Gaming Components and Systems segment decreased by 6.8% for the three months ended June 30, 2024 as compared to the same period last year. The decrease was primarily attributable to a 3.0% from an unfavorable product mix within this segment and higher product costs from suppliers, a 2.7% from increased promotional activities as a proportion of net revenue, and a 1.5% from factory underutilization and higher inventory reserves.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gross margin of the Gaming Components and Systems segment decreased by 5.0% for the six months ended June 30, 2024 as compared to the same period last year. The decrease was primarily attributable to a 2.6% from an unfavorable product mix within this segment and higher product costs from suppliers, a 1.7% from increased promotional activities as a proportion of net revenue, and a 1.1% from factory underutilization and higher inventory reserves.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financed our operations and acquisitions through cash from operations, and when applicable, through debt facilities and issuance of equity securities. As of June 30, 2024, our principal sources of liquidity were cash and restricted cash, in aggregate of $94.6 million, and our borrowing capacity under the Revolving Facility (as defined below) of $100.0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shelf-registration statement on Form S-3 on file with the SEC, which allows us to offer securities, including common stock, preferred stock and warrants, through August 1, 2025. As of June 30, 2024, $216.7 million remained available for issuance under the shelf-registration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uses of cash generally include purchases of inventory, payroll and other operating expenses related to the development and marketing of our products, capital expenditure, repayments of debt and related interest, income tax payments, future investments in business and technology, and selective mergers and acquisitions (including our short-term Bridge Loan financing to Endor).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anticipated cash flows from operations based on our current business outlook, combined with our current levels of cash balances at June 30, 2024, supplemented with the borrowing capacity under our Revolving Facility, if and as needed, will be sufficient to fund our principal uses of cash for at least the next twelve months. In the longer term, liquidity will depend to a great extent on our future revenues and our ability to appropriately manage our costs based on the demand for our products. We may require additional funding and need or choose to raise the required funds through borrowings or public or private sales of debt or equity securities.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 at all.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presented (in thousands):</w:t>
      </w:r>
    </w:p>
    <w:tbl>
      <w:tblPr>
        <w:tblW w:w="5359" w:type="dxa"/>
        <w:jc w:val="left"/>
        <w:tblInd w:w="0" w:type="dxa"/>
        <w:tblLayout w:type="fixed"/>
        <w:tblCellMar>
          <w:top w:w="28" w:type="dxa"/>
          <w:left w:w="28" w:type="dxa"/>
          <w:bottom w:w="28" w:type="dxa"/>
          <w:right w:w="28" w:type="dxa"/>
        </w:tblCellMar>
      </w:tblPr>
      <w:tblGrid>
        <w:gridCol w:w="2656"/>
        <w:gridCol w:w="146"/>
        <w:gridCol w:w="211"/>
        <w:gridCol w:w="736"/>
        <w:gridCol w:w="166"/>
        <w:gridCol w:w="146"/>
        <w:gridCol w:w="211"/>
        <w:gridCol w:w="676"/>
        <w:gridCol w:w="4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(7,105</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Net cash used in operating activities for the six months ended June 30, 2024 was $44.8 million and consisted of a net loss of $34.5 million and a net cash outflow of $37.3 million from changes in our net operating assets and liabilities, offset partially by non-cash adjustments of $27.0 million. The net cash outflow from changes in our net operating assets and liabilities was primarily related to a decrease in accounts payable due to timing of payments and a decrease in other liabilities and accrued expenses mainly due to a reduction in the accruals needed for sales returns and customer incentives with lower revenues, as well as an increase in inventories, </w:t>
      </w:r>
      <w:r>
        <w:rPr>
          <w:rFonts w:ascii="Calibri;sans-serif" w:hAnsi="Calibri;sans-serif"/>
          <w:color w:val="000000"/>
          <w:sz w:val="20"/>
        </w:rPr>
        <w:t>a</w:t>
      </w:r>
      <w:r>
        <w:rPr>
          <w:rFonts w:ascii="Times New Roman" w:hAnsi="Times New Roman"/>
          <w:color w:val="000000"/>
          <w:sz w:val="20"/>
        </w:rPr>
        <w:t>ttributable in part to the buildup of safety stock to accommodate supply lead times in our peripherals products and in part due to lower demand for our components products in the first half of 2024. These net cash outflows were partially offset by a decrease in accounts receivable from lower revenue and a decrease in prepaid and other assets. The non-cash adjustments primarily consisted of amortization of intangibles, depreciation and stock-based compensation expense, which were partially offset by changes in deferred income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28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for the six months ended June 30, 2023 was $44.0 million and consisted of a net cash inflow of $12.3 million from changes in our net operating assets and liabilities and non-cash adjustments of $37.4 million, offset partially by a net loss of $5.7 million. The net cash inflow from changes in our net operating assets and liabilities was primarily related to an increase in accounts payable from an increase in inventory purchases and a decrease in accounts receivable. These net cash inflows were partially offset by an increase in inventories and an increase in prepaid and other assets. The non-cash adjustments consisted primarily of amortization of intangibles, depreciation and stock-based compensation expense, which were partially offset by changes in deferred income taxes.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$16.4 million for the six months ended June 30, 2024 and primarily consisted of $12.3 million disbursement of Bridge Loan (refer to Note 7, “Balance Sheet Component - Accounts Receivable, net” for more information on the Bridge Loan), $5.0 million of capital expenditure, partially offset by $1.0 million cash received from escrow for the purchase price adjustment related to a business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$7.5 million for the six months ended June 30, 2023 and consisted of purchases of equipment and software.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was $22.1 million for the six months ended June 30, 2024 and primarily consisted of $18.1 million repayment of debt, $4.9 million settlement of deferred consideration related to a prior business acquisition in 2019, $2.0 million payment of dividends to noncontrolling interest, and $0.4 million payment of taxes related to net share settlement of equity awards, partially offset by $3.3 million proceeds received from the issuance of shares through the employee 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was $7.1 million for the six months ended June 30, 2023 and primarily consisted of $11.3 million repayment of debt, $1.0 million payment of deferred purchase consideration related to a prior business acquisition in 2019, and $0.8 million payment of taxes related to net share settlement of equity awards, partially offset by $6.4 million proceeds received from the issuance of shares through employee equity incentive plans.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3, 2021, we refinanced the First Lien Credit and Guaranty Agreement with a new Credit Agreement (as amended, the “Credit Agreement”). The Credit Agreement provides for a total commitment of $350.0 million, consisting of a $100.0 million revolving credit facility (the “Revolving Facility”) and a $250.0 million term loan facility (the “Term Loan”). The Credit Agreement is available for a period of five years, maturing September 2026, and provides for additional incremental facilities up to a maximum aggregate principal amount of $250.0 million, subject to the satisfaction of certain conditions. We may prepay the Term Loan and the Revolving Facility at any time without premium or penalty. We prepaid $11.9 million and $34.1 million of the Term Loan principal in the six months ended June 30, 2024 and in the year ended December 31, 2023, respectively. As of June 30, 2024, the total principal outstanding of the Term Loan was $180.9 million and the available and uncommitted capacity under the Revolving Facility was $100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has a variable rate structure. According to the provisions in the Third Amendment to the Credit Agreement (“Third Amendment”), beginning 2024, the Term Loan and the Revolving Facility carry interest at our election at either (a) Bloomberg Short-Term Bank Yield Index rate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Additionally, the commitment fees on the unused portion of the Revolving Facility ranges from 0.2% to 0.4% based on our total net leverage ratio.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contains covenants with which we must comply during the term of the agreement, which we believe are ordinary and standard for agreements of this nature, including the maintenance of a maximum Consolidated Total Net Leverage Ratio (“CTNL Ratio”) and a minimum Consolidated Interest Coverage Ratio (“CIC Ratio”) (as defined in the Credit Agreement). According to the provisions in the Third Amendment, beginning 2024, we are required to maintain a maximum CTNL Ratio of 3.00 to 1.00 and a minimum CIC ratio of 3.00 to 1.00, with the provision that the maximum CTNL Ratio can be temporarily increased to 3.50 to 1.00 upon the occurrence of a Qualified Acquisition (as defined in, and subject to the requirements of the Credit Agreement). As of June 30, 2024, we were not in default under the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29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Cash and Other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contractual cash and other obligations as of June 30, 2024 (in thousands):</w:t>
      </w:r>
    </w:p>
    <w:tbl>
      <w:tblPr>
        <w:tblW w:w="10205" w:type="dxa"/>
        <w:jc w:val="left"/>
        <w:tblInd w:w="0" w:type="dxa"/>
        <w:tblLayout w:type="fixed"/>
        <w:tblCellMar>
          <w:top w:w="28" w:type="dxa"/>
          <w:left w:w="28" w:type="dxa"/>
          <w:bottom w:w="28" w:type="dxa"/>
          <w:right w:w="28" w:type="dxa"/>
        </w:tblCellMar>
      </w:tblPr>
      <w:tblGrid>
        <w:gridCol w:w="3750"/>
        <w:gridCol w:w="146"/>
        <w:gridCol w:w="211"/>
        <w:gridCol w:w="781"/>
        <w:gridCol w:w="146"/>
        <w:gridCol w:w="146"/>
        <w:gridCol w:w="211"/>
        <w:gridCol w:w="781"/>
        <w:gridCol w:w="146"/>
        <w:gridCol w:w="146"/>
        <w:gridCol w:w="211"/>
        <w:gridCol w:w="781"/>
        <w:gridCol w:w="146"/>
        <w:gridCol w:w="146"/>
        <w:gridCol w:w="211"/>
        <w:gridCol w:w="676"/>
        <w:gridCol w:w="146"/>
        <w:gridCol w:w="146"/>
        <w:gridCol w:w="211"/>
        <w:gridCol w:w="676"/>
        <w:gridCol w:w="391"/>
      </w:tblGrid>
      <w:tr>
        <w:trPr/>
        <w:tc>
          <w:tcPr>
            <w:tcW w:w="3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1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75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Debt principal and interest payments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7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Inventory-related purchase obligations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75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lease obligations </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24,527</w:t>
            </w:r>
          </w:p>
        </w:tc>
        <w:tc>
          <w:tcPr>
            <w:tcW w:w="391" w:type="dxa"/>
            <w:tcBorders/>
            <w:shd w:fill="CFF0FC" w:val="clear"/>
            <w:vAlign w:val="center"/>
          </w:tcPr>
          <w:p>
            <w:pPr>
              <w:pStyle w:val="TableContents"/>
              <w:bidi w:val="0"/>
              <w:spacing w:before="0" w:after="283"/>
              <w:jc w:val="left"/>
              <w:rPr/>
            </w:pPr>
            <w:r>
              <w:rPr/>
              <w:t> </w:t>
            </w:r>
          </w:p>
        </w:tc>
      </w:tr>
      <w:tr>
        <w:trPr/>
        <w:tc>
          <w:tcPr>
            <w:tcW w:w="37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purchase obligations </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75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Payment for additional investment in iDisplay </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Amounts represent the principal cash payments as of June 30, 2024 of our Term Loan based on the repayment schedule according to the Credit Agreement and the expected interest payments associated with the Term Loan. See Note 8, “Debt” to our condensed consolidated financial statements for more information.</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Amounts represent an estimate of purchase obligations related to inventory.</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Amounts represent contractual obligations from our operating leases for offices and warehouse spaces.</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Amounts represent non-cancelable obligations related to capital expenditures, software licenses, marketing and other activities.</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Amount represents the cash payment made on July 8, 2024 relating to the additional investment in iDisplay. See Note 16, “Subsequent Event” to our condensed consolidated financial statements for more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we had $4.5 million in non-current income tax payable, including interest and penalties, related to our income tax liability for uncertain tax positions. At this time, we are unable to make a reasonably reliable estimate of the timing of payments in individual years in connection with these tax liabilities; therefore, such amounts are not included in the contractual cash obligation table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critical accounting policy is defined as one that has both a material impact on our financial condition and results of operations and requires us to make difficult, complex and/or subjective judgments, often as a result of the need to make estimates about matters that are inherently uncertain. Our condensed consolidated financial statements are prepared in accordance with U.S. generally accepted accounting principles (“GAAP”), which requires us to make estimates, judgments and assumptions that affect the reported amounts of assets and liabilities and the disclosure of contingent liabilities at the date of the condensed consolidated financial statements, as well as the reported amounts of revenue and expenses during the reporting periods. Our estimates are based on our historical experience and on various other factors that we believe to be applicable and evaluate them on an ongoing basis to ensure they remain reasonable under current conditions. Actual results may differ significantly from those estimates, which could have a material impact on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during the six months ended June 30, 2024 as compared to the critical accounting policies and estimates described in our Management’s Discussion and Analysis of Financial Condition and Results of Operations included in our Annual Report on Form 10-K for the year ended December 31, 2023 filed with the SEC on February 27,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to the condensed consolidated financial statements included in this Quarterly Report on Form 10-Q for recent accounting pronouncements adopted and to be adopted.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30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we had cash and restricted cash of $94.6 million, which consisted primarily of bank deposits. Our cash is held for working capital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under the Credit Agreement, we had $180.9 million Term Loan outstanding (face value), and the Term Loan bears variable market rates, primarily BSBY. See Note 8, “Debt - Credit Agreement” to our condensed consolidated financial statements for additional information on the Credit Agreement. A significant change in these market rates may adversely affect our operating results. As of June 30, 2024, a hypothetical 100 basis point change in interest rates would result in a change to annual interest expense by approximately $1.8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Approximately 19.4% of our net revenue for the six months ended June 30, 2024 was denominated in foreign currencies, primarily Euro, and to a lesser extent, the British Pound. Any unfavorable movement in the exchange rate between U.S. dollars and the currencies in which we conduct sales in foreign countries could have an adverse impact on our net revenue and gross margins as we may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forward currency contracts to reduce the short-term effects of currency fluctuations on Euro, British Pound, and Chinese Yuan denominated cash, accounts receivable, and intercompany receivable and payable balances. These forward contracts generally mature within two to four months, and we do not enter into foreign currency forward contracts for trading purposes. The outstanding notional principal amount was $22.0 million and $44.3 million as of June 30, 2024 and December 31, 2023, respectively. The gains or losses on these contracts are recognized in earnings based on the changes in fair value of the foreign currency forward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changes in foreign currency rates, including the gains or (losses) on the forward currency contracts, recognized in other expense, net was $(1.0) million and $(1.8) million for the six months ended June 30, 2024 and 2023, respectively. A hypothetical ten percent change in exchange rates between foreign currencies and the U.S. dollar would increase or decrease our gains or losses on foreign currency exchange of approximately $1.6 million in our condensed consolidated financial statements for the six months ended June 30,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31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our principal financial officer, has evaluated the effectiveness of our disclosure controls and procedures as of the end of the period covered by this Quarterly Report on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this evaluation, our chief executive officer and chief financial officer concluded that, as of June 30, 2024,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quarter ended June 30, 2024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32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4" w:name="part_iior_information"/>
      <w:bookmarkEnd w:id="14"/>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pStyle w:val="TextBody"/>
        <w:bidi w:val="0"/>
        <w:spacing w:before="240" w:after="283"/>
        <w:jc w:val="left"/>
        <w:rPr>
          <w:rFonts w:ascii="Times New Roman" w:hAnsi="Times New Roman"/>
          <w:b/>
          <w:color w:val="000000"/>
          <w:sz w:val="20"/>
        </w:rPr>
      </w:pPr>
      <w:bookmarkStart w:id="16" w:name="item_ia_risk_factor"/>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disclosed under the heading “Risk Factors” in Part I, Item 1A of our Annual Report on Form 10-K for the year ended December 31, 2023 the risk factors that materially affect our business, financial condition or results of operations. There have been no material changes from the risk factors previously disclosed. You should carefully consider the risk factors set forth in our Annual Report on Form 10-K for the year ended December 31, 2023 and the other information set forth elsewhere in this Quarterly Report on Form 10-Q. The risks that we describe in our public filings are not the only risks we may face. Additional risks and uncertainties not currently known to us or that we currently deem to be immaterial also may materially adversely effect on our business, financial condition and/or future operating results.</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18" w:name="item_3_defaults_upon_senior_securities"/>
      <w:bookmarkEnd w:id="18"/>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0" w:name="item_5_othe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On July 31, 2024 (the “Effective Date”), we entered into an indemnity and reimbursement arrangement (the “Indemnity Letter”) with our largest stockholder Corsair Group (Cayman), LP (“Corsair LP”), an affiliate of EagleTree Capital, LP (“EagleTree”). From time to time, affiliates of Corsair LP including EagleTree have provided us, and may in the future provide us, with advisory services relating to certain strategic transactions including some of our prior acquisitions (“Transaction Services”). Pursuant to the terms of the Indemnity Letter and subject to certain limitations, we have agreed to indemnify Corsair LP, its affiliates (including EagleTree) and its and their respective direct and indirect partners, members, equityholders, officers, managers, directors, employees, agents and representatives for all losses, claims, damages, liabilities, costs and expenses arising out of or related to the Transaction Services. The foregoing description of the Indemnity Letter is not complete and is qualified in its entirety by reference to the full text of the Indemnity Letter, which is filed as Exhibit 10.1 hereto and is incorporated herein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None of our directors or officers (as defined in Rule 16a-1 under the Exchange Act) adopted, modified or terminated a Rule 10b5-1 trading arrangement or non-Rule 10b5-1 trading arrangement during the three months ended June 30, 2024, as such terms are defined under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33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
        <w:gridCol w:w="146"/>
        <w:gridCol w:w="5136"/>
        <w:gridCol w:w="789"/>
        <w:gridCol w:w="146"/>
        <w:gridCol w:w="465"/>
        <w:gridCol w:w="146"/>
        <w:gridCol w:w="146"/>
        <w:gridCol w:w="631"/>
        <w:gridCol w:w="146"/>
        <w:gridCol w:w="720"/>
        <w:gridCol w:w="146"/>
        <w:gridCol w:w="828"/>
      </w:tblGrid>
      <w:tr>
        <w:trPr/>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136" w:type="dxa"/>
            <w:tcBorders/>
            <w:vAlign w:val="center"/>
          </w:tcPr>
          <w:p>
            <w:pPr>
              <w:pStyle w:val="TableContents"/>
              <w:bidi w:val="0"/>
              <w:spacing w:before="0" w:after="283"/>
              <w:jc w:val="center"/>
              <w:rPr/>
            </w:pPr>
            <w:r>
              <w:rPr/>
              <w:t> </w:t>
            </w:r>
          </w:p>
        </w:tc>
        <w:tc>
          <w:tcPr>
            <w:tcW w:w="789" w:type="dxa"/>
            <w:tcBorders/>
            <w:vAlign w:val="center"/>
          </w:tcPr>
          <w:p>
            <w:pPr>
              <w:pStyle w:val="TableContents"/>
              <w:bidi w:val="0"/>
              <w:spacing w:before="0" w:after="283"/>
              <w:jc w:val="center"/>
              <w:rPr/>
            </w:pPr>
            <w:r>
              <w:rPr/>
              <w:t> </w:t>
            </w:r>
          </w:p>
        </w:tc>
        <w:tc>
          <w:tcPr>
            <w:tcW w:w="2400" w:type="dxa"/>
            <w:gridSpan w:val="7"/>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vAlign w:val="center"/>
          </w:tcPr>
          <w:p>
            <w:pPr>
              <w:pStyle w:val="TableContents"/>
              <w:bidi w:val="0"/>
              <w:spacing w:before="0" w:after="283"/>
              <w:jc w:val="center"/>
              <w:rPr/>
            </w:pPr>
            <w:r>
              <w:rPr/>
              <w:t> </w:t>
            </w:r>
          </w:p>
        </w:tc>
        <w:tc>
          <w:tcPr>
            <w:tcW w:w="513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789" w:type="dxa"/>
            <w:tcBorders/>
            <w:vAlign w:val="center"/>
          </w:tcPr>
          <w:p>
            <w:pPr>
              <w:pStyle w:val="TableContents"/>
              <w:bidi w:val="0"/>
              <w:spacing w:before="0" w:after="283"/>
              <w:jc w:val="center"/>
              <w:rPr/>
            </w:pPr>
            <w:r>
              <w:rPr/>
              <w:t> </w:t>
            </w:r>
          </w:p>
        </w:tc>
        <w:tc>
          <w:tcPr>
            <w:tcW w:w="757" w:type="dxa"/>
            <w:gridSpan w:val="3"/>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Filed</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Second Amended and Restated Certificate of Incorporation.</w:t>
              </w:r>
            </w:hyperlink>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noBreakHyphen/>
              <w:t>K</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09/25/2020</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noBreakHyphen/>
              <w:t>K</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09/25/2020</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 of Registrant.</w:t>
              </w:r>
            </w:hyperlink>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09/18/2020</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Investor Rights Agreement, by and between Corsair Gaming, Inc. and Corsair Group (Cayman), LP.</w:t>
              </w:r>
            </w:hyperlink>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11/10/2020</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Description of Corsair’s Securities Registered Pursuant to Section 12 of the Securities Exchange Act of 1934.</w:t>
              </w:r>
            </w:hyperlink>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03/11/2021</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Registration Rights Agreement, by and between Corsair Gaming, Inc. and Corsair Group (Cayman), LP.</w:t>
              </w:r>
            </w:hyperlink>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09/14/2020</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hyperlink w:anchor="crsr-ex10_1.htm">
              <w:r>
                <w:rPr>
                  <w:rStyle w:val="InternetLink"/>
                  <w:rFonts w:ascii="Times New Roman" w:hAnsi="Times New Roman"/>
                  <w:color w:val="0000FF"/>
                  <w:sz w:val="20"/>
                  <w:u w:val="single"/>
                </w:rPr>
                <w:t>Indemnification Letter, by and between Corsair Gaming, Inc. and Corsair Group (Cayman), LP.</w:t>
              </w:r>
            </w:hyperlink>
          </w:p>
        </w:tc>
        <w:tc>
          <w:tcPr>
            <w:tcW w:w="146"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hyperlink w:anchor="crsr-ex31_1.htm">
              <w:r>
                <w:rPr>
                  <w:rStyle w:val="InternetLink"/>
                  <w:rFonts w:ascii="Times New Roman" w:hAnsi="Times New Roman"/>
                  <w:color w:val="0000FF"/>
                  <w:sz w:val="20"/>
                  <w:u w:val="single"/>
                </w:rPr>
                <w:t>Certification of Principal Executive Officer under Securities Exchange Act Rule 13a</w:t>
                <w:noBreakHyphen/>
                <w:t>14(a) and 15d</w:t>
                <w:noBreakHyphen/>
                <w:t>14(a).</w:t>
              </w:r>
            </w:hyperlink>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hyperlink w:anchor="crsr-ex31_2.htm">
              <w:r>
                <w:rPr>
                  <w:rStyle w:val="InternetLink"/>
                  <w:rFonts w:ascii="Times New Roman" w:hAnsi="Times New Roman"/>
                  <w:color w:val="0000FF"/>
                  <w:sz w:val="20"/>
                  <w:u w:val="single"/>
                </w:rPr>
                <w:t>Certification of Principal Financial Officer under Securities Exchange Act Rule 13a</w:t>
                <w:noBreakHyphen/>
                <w:t>14(a) and 15d</w:t>
                <w:noBreakHyphen/>
                <w:t>14(a).</w:t>
              </w:r>
            </w:hyperlink>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hyperlink w:anchor="crsr-ex32_1.htm">
              <w:r>
                <w:rPr>
                  <w:rStyle w:val="InternetLink"/>
                  <w:rFonts w:ascii="Times New Roman" w:hAnsi="Times New Roman"/>
                  <w:color w:val="0000FF"/>
                  <w:sz w:val="20"/>
                  <w:u w:val="single"/>
                </w:rPr>
                <w:t>Certifications of Principal Executive Officer and Principal Financial Officer pursuant to 18 U.S.C. 1350 and Securities Exchange Act Rule 13a</w:t>
                <w:noBreakHyphen/>
                <w:t>14(b).</w:t>
              </w:r>
            </w:hyperlink>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925"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pPr>
            <w:r>
              <w:rPr/>
              <w:t> </w:t>
            </w:r>
          </w:p>
        </w:tc>
      </w:tr>
      <w:tr>
        <w:trPr/>
        <w:tc>
          <w:tcPr>
            <w:tcW w:w="7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5925"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vAlign w:val="center"/>
          </w:tcPr>
          <w:p>
            <w:pPr>
              <w:pStyle w:val="TableContents"/>
              <w:bidi w:val="0"/>
              <w:spacing w:before="0" w:after="283"/>
              <w:jc w:val="center"/>
              <w:rPr/>
            </w:pPr>
            <w:r>
              <w:rPr/>
              <w:t> </w:t>
            </w:r>
          </w:p>
        </w:tc>
        <w:tc>
          <w:tcPr>
            <w:tcW w:w="46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77"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2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w:t>
            </w:r>
          </w:p>
        </w:tc>
        <w:tc>
          <w:tcPr>
            <w:tcW w:w="9979" w:type="dxa"/>
            <w:tcBorders/>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The certification attached as Exhibit 32.1 that accompanies this Quarterly Report on Form 10-Q is not deemed filed with the SEC and is not to be incorporated by reference into any filing of Corsair Gaming,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34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672" w:type="dxa"/>
        <w:jc w:val="left"/>
        <w:tblInd w:w="0" w:type="dxa"/>
        <w:tblLayout w:type="fixed"/>
        <w:tblCellMar>
          <w:top w:w="28" w:type="dxa"/>
          <w:left w:w="28" w:type="dxa"/>
          <w:bottom w:w="28" w:type="dxa"/>
          <w:right w:w="28" w:type="dxa"/>
        </w:tblCellMar>
      </w:tblPr>
      <w:tblGrid>
        <w:gridCol w:w="1846"/>
        <w:gridCol w:w="109"/>
        <w:gridCol w:w="406"/>
        <w:gridCol w:w="53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2"/>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Corsair Gaming, Inc.</w:t>
            </w:r>
          </w:p>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G. Potter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G. Potter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p>
            <w:pPr>
              <w:pStyle w:val="TableContents"/>
              <w:bidi w:val="0"/>
              <w:jc w:val="center"/>
              <w:rPr/>
            </w:pPr>
            <w:r>
              <w:rPr/>
              <w:t> </w:t>
            </w:r>
          </w:p>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2024 Form 10-Q | 35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3" w:name="crsr-ex10_1.htm"/>
      <w:bookmarkStart w:id="24" w:name="kscrsrex10_1"/>
      <w:bookmarkEnd w:id="23"/>
      <w:bookmarkEnd w:id="24"/>
      <w:r>
        <w:rPr>
          <w:rFonts w:ascii="Times New Roman" w:hAnsi="Times New Roman"/>
          <w:b/>
          <w:color w:val="000000"/>
          <w:sz w:val="24"/>
        </w:rPr>
        <w:t>Exhibit 10.1</w:t>
      </w:r>
      <w:r>
        <w:br w:type="page"/>
      </w:r>
    </w:p>
    <w:p>
      <w:pPr>
        <w:pStyle w:val="TextBody"/>
        <w:bidi w:val="0"/>
        <w:jc w:val="center"/>
        <w:rPr>
          <w:rFonts w:ascii="Times New Roman" w:hAnsi="Times New Roman"/>
          <w:sz w:val="20"/>
        </w:rPr>
      </w:pPr>
      <w:r>
        <w:rPr>
          <w:rFonts w:ascii="Times New Roman" w:hAnsi="Times New Roman"/>
          <w:b/>
          <w:color w:val="000000"/>
          <w:sz w:val="23"/>
        </w:rPr>
        <w:t>Corsair Gaming, Inc.</w:t>
      </w:r>
      <w:r>
        <w:rPr>
          <w:rFonts w:ascii="Times New Roman" w:hAnsi="Times New Roman"/>
          <w:color w:val="000000"/>
          <w:sz w:val="23"/>
        </w:rPr>
        <w:br/>
        <w:t>47100 Bayside Parkway</w:t>
        <w:br/>
        <w:t>Fremont, California 94538</w:t>
      </w:r>
    </w:p>
    <w:p>
      <w:pPr>
        <w:pStyle w:val="TextBody"/>
        <w:bidi w:val="0"/>
        <w:spacing w:before="120" w:after="283"/>
        <w:jc w:val="left"/>
        <w:rPr>
          <w:rFonts w:ascii="Times New Roman" w:hAnsi="Times New Roman"/>
          <w:color w:val="000000"/>
          <w:sz w:val="23"/>
        </w:rPr>
      </w:pPr>
      <w:r>
        <w:rPr>
          <w:rFonts w:ascii="Times New Roman" w:hAnsi="Times New Roman"/>
          <w:color w:val="000000"/>
          <w:sz w:val="23"/>
        </w:rPr>
        <w:t>July 31, 2024</w:t>
      </w:r>
    </w:p>
    <w:p>
      <w:pPr>
        <w:pStyle w:val="TextBody"/>
        <w:bidi w:val="0"/>
        <w:spacing w:before="240" w:after="283"/>
        <w:jc w:val="left"/>
        <w:rPr>
          <w:rFonts w:ascii="Times New Roman" w:hAnsi="Times New Roman"/>
          <w:sz w:val="20"/>
        </w:rPr>
      </w:pPr>
      <w:r>
        <w:rPr>
          <w:rFonts w:ascii="Times New Roman" w:hAnsi="Times New Roman"/>
          <w:color w:val="000000"/>
          <w:sz w:val="23"/>
        </w:rPr>
        <w:t>Corsair Group (Cayman), LP</w:t>
        <w:br/>
        <w:t>1185 Avenue of the Americas, 39</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3"/>
        </w:rPr>
        <w:t>Floor</w:t>
        <w:br/>
        <w:t>New York, New York 10036</w:t>
      </w:r>
    </w:p>
    <w:p>
      <w:pPr>
        <w:pStyle w:val="TextBody"/>
        <w:bidi w:val="0"/>
        <w:spacing w:before="240" w:after="283"/>
        <w:jc w:val="left"/>
        <w:rPr>
          <w:rFonts w:ascii="Times New Roman" w:hAnsi="Times New Roman"/>
          <w:color w:val="000000"/>
          <w:sz w:val="23"/>
        </w:rPr>
      </w:pPr>
      <w:r>
        <w:rPr>
          <w:rFonts w:ascii="Times New Roman" w:hAnsi="Times New Roman"/>
          <w:color w:val="000000"/>
          <w:sz w:val="23"/>
        </w:rPr>
        <w:t>Re: Certain Indemnity and Reimbursement Arrangements</w:t>
      </w:r>
    </w:p>
    <w:p>
      <w:pPr>
        <w:pStyle w:val="TextBody"/>
        <w:bidi w:val="0"/>
        <w:spacing w:before="240" w:after="283"/>
        <w:jc w:val="left"/>
        <w:rPr>
          <w:rFonts w:ascii="Times New Roman" w:hAnsi="Times New Roman"/>
          <w:color w:val="000000"/>
          <w:sz w:val="23"/>
        </w:rPr>
      </w:pPr>
      <w:r>
        <w:rPr>
          <w:rFonts w:ascii="Times New Roman" w:hAnsi="Times New Roman"/>
          <w:color w:val="000000"/>
          <w:sz w:val="23"/>
        </w:rPr>
        <w:t>Ladies and Gentlemen:</w:t>
      </w:r>
    </w:p>
    <w:p>
      <w:pPr>
        <w:pStyle w:val="TextBody"/>
        <w:bidi w:val="0"/>
        <w:spacing w:before="240" w:after="283"/>
        <w:jc w:val="left"/>
        <w:rPr>
          <w:rFonts w:ascii="Times New Roman" w:hAnsi="Times New Roman"/>
          <w:sz w:val="20"/>
        </w:rPr>
      </w:pPr>
      <w:r>
        <w:rPr>
          <w:rFonts w:ascii="Times New Roman" w:hAnsi="Times New Roman"/>
          <w:color w:val="000000"/>
          <w:sz w:val="23"/>
        </w:rPr>
        <w:t>Since Corsair Gaming, Inc.’s (the “</w:t>
      </w:r>
      <w:r>
        <w:rPr>
          <w:rFonts w:ascii="Times New Roman" w:hAnsi="Times New Roman"/>
          <w:i/>
          <w:color w:val="000000"/>
          <w:sz w:val="23"/>
        </w:rPr>
        <w:t>Company</w:t>
      </w:r>
      <w:r>
        <w:rPr>
          <w:rFonts w:ascii="Times New Roman" w:hAnsi="Times New Roman"/>
          <w:color w:val="000000"/>
          <w:sz w:val="20"/>
        </w:rPr>
        <w:t>”</w:t>
      </w:r>
      <w:r>
        <w:rPr>
          <w:rFonts w:ascii="Times New Roman" w:hAnsi="Times New Roman"/>
          <w:color w:val="000000"/>
          <w:sz w:val="23"/>
        </w:rPr>
        <w:t>) initial public offering, affiliates of Corsair Group (Cayman), LP (“</w:t>
      </w:r>
      <w:r>
        <w:rPr>
          <w:rFonts w:ascii="Times New Roman" w:hAnsi="Times New Roman"/>
          <w:i/>
          <w:color w:val="000000"/>
          <w:sz w:val="23"/>
        </w:rPr>
        <w:t>Corsair LP</w:t>
      </w:r>
      <w:r>
        <w:rPr>
          <w:rFonts w:ascii="Times New Roman" w:hAnsi="Times New Roman"/>
          <w:color w:val="000000"/>
          <w:sz w:val="20"/>
        </w:rPr>
        <w:t>”</w:t>
      </w:r>
      <w:r>
        <w:rPr>
          <w:rFonts w:ascii="Times New Roman" w:hAnsi="Times New Roman"/>
          <w:color w:val="000000"/>
          <w:sz w:val="23"/>
        </w:rPr>
        <w:t>), including EagleTree Capital, LP (“</w:t>
      </w:r>
      <w:r>
        <w:rPr>
          <w:rFonts w:ascii="Times New Roman" w:hAnsi="Times New Roman"/>
          <w:i/>
          <w:color w:val="000000"/>
          <w:sz w:val="23"/>
        </w:rPr>
        <w:t>EagleTree</w:t>
      </w:r>
      <w:r>
        <w:rPr>
          <w:rFonts w:ascii="Times New Roman" w:hAnsi="Times New Roman"/>
          <w:color w:val="000000"/>
          <w:sz w:val="20"/>
        </w:rPr>
        <w:t>”</w:t>
      </w:r>
      <w:r>
        <w:rPr>
          <w:rFonts w:ascii="Times New Roman" w:hAnsi="Times New Roman"/>
          <w:color w:val="000000"/>
          <w:sz w:val="23"/>
        </w:rPr>
        <w:t>), have provided and may in the future provide the Company with advisory and other services relating to (i) mergers and acquisitions transactions not involving EagleTee or an EagleTree affiliate (for the avoidance of doubt, other than the Company and its subsidiaries) and (ii) certain other transactions as agreed to by a majority of the Company’s directors not affiliated with EagleTree or otherwise requested by the Company with the knowledge of a majority of the Company’s directors not affiliated with EagleTree (the transactions contemplated by the foregoing clauses (i) and (ii) collectively, “</w:t>
      </w:r>
      <w:r>
        <w:rPr>
          <w:rFonts w:ascii="Times New Roman" w:hAnsi="Times New Roman"/>
          <w:i/>
          <w:color w:val="000000"/>
          <w:sz w:val="23"/>
        </w:rPr>
        <w:t>Transactions,</w:t>
      </w:r>
      <w:r>
        <w:rPr>
          <w:rFonts w:ascii="Times New Roman" w:hAnsi="Times New Roman"/>
          <w:color w:val="000000"/>
          <w:sz w:val="20"/>
        </w:rPr>
        <w:t xml:space="preserve">” </w:t>
      </w:r>
      <w:r>
        <w:rPr>
          <w:rFonts w:ascii="Times New Roman" w:hAnsi="Times New Roman"/>
          <w:color w:val="000000"/>
          <w:sz w:val="23"/>
        </w:rPr>
        <w:t>and such services, “</w:t>
      </w:r>
      <w:r>
        <w:rPr>
          <w:rFonts w:ascii="Times New Roman" w:hAnsi="Times New Roman"/>
          <w:i/>
          <w:color w:val="000000"/>
          <w:sz w:val="23"/>
        </w:rPr>
        <w:t>Transaction Services</w:t>
      </w:r>
      <w:r>
        <w:rPr>
          <w:rFonts w:ascii="Times New Roman" w:hAnsi="Times New Roman"/>
          <w:color w:val="000000"/>
          <w:sz w:val="20"/>
        </w:rPr>
        <w:t>”</w:t>
      </w:r>
      <w:r>
        <w:rPr>
          <w:rFonts w:ascii="Times New Roman" w:hAnsi="Times New Roman"/>
          <w:color w:val="000000"/>
          <w:sz w:val="23"/>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3"/>
        </w:rPr>
        <w:t>In connection with and in consideration for the provision of such Transaction Services in the past and the expected provision of such Transaction Services in the future, the Company agrees that, to the fullest extent permitted by applicable law, it will indemnify, defend and hold harmless Corsair LP, its affiliates (including EagleTree) and its and their respective direct and indirect partners, members, equityholders, officers, managers, directors, employees, agents and representatives (“</w:t>
      </w:r>
      <w:r>
        <w:rPr>
          <w:rFonts w:ascii="Times New Roman" w:hAnsi="Times New Roman"/>
          <w:i/>
          <w:color w:val="000000"/>
          <w:sz w:val="23"/>
        </w:rPr>
        <w:t>Indemnitees</w:t>
      </w:r>
      <w:r>
        <w:rPr>
          <w:rFonts w:ascii="Times New Roman" w:hAnsi="Times New Roman"/>
          <w:color w:val="000000"/>
          <w:sz w:val="20"/>
        </w:rPr>
        <w:t>”</w:t>
      </w:r>
      <w:r>
        <w:rPr>
          <w:rFonts w:ascii="Times New Roman" w:hAnsi="Times New Roman"/>
          <w:color w:val="000000"/>
          <w:sz w:val="23"/>
        </w:rPr>
        <w:t>) for all losses, claims, damages, liabilities, costs and expenses (including reasonable and documented (which documentation will, solely to the extent requested by the Company’s auditors if reasonably needed as part of their audit and or review of the Company’s financials or as may be required by applicable law, regulation, or legal process, include backup time entries in a form reasonably sufficient to detail the type of work done) attorneys’ fees and expenses) (“</w:t>
      </w:r>
      <w:r>
        <w:rPr>
          <w:rFonts w:ascii="Times New Roman" w:hAnsi="Times New Roman"/>
          <w:i/>
          <w:color w:val="000000"/>
          <w:sz w:val="23"/>
        </w:rPr>
        <w:t>Losses</w:t>
      </w:r>
      <w:r>
        <w:rPr>
          <w:rFonts w:ascii="Times New Roman" w:hAnsi="Times New Roman"/>
          <w:color w:val="000000"/>
          <w:sz w:val="20"/>
        </w:rPr>
        <w:t>”</w:t>
      </w:r>
      <w:r>
        <w:rPr>
          <w:rFonts w:ascii="Times New Roman" w:hAnsi="Times New Roman"/>
          <w:color w:val="000000"/>
          <w:sz w:val="23"/>
        </w:rPr>
        <w:t xml:space="preserve">) arising out of or related to any such Transactions and/or Transaction Services, or any other involvement by Indemnitees in any Transaction, including any reasonable and documented Losses incurred by Indemnitees in connection with responding to, investigating, preparing, defending or assisting in the defense of, any claim, proceeding, subpoena or investigation related to Transactions or Transaction Services, in each case, whether incurred or arising prior to, on or following the date of this letter; </w:t>
      </w:r>
      <w:r>
        <w:rPr>
          <w:rFonts w:ascii="Times New Roman" w:hAnsi="Times New Roman"/>
          <w:i/>
          <w:color w:val="000000"/>
          <w:sz w:val="23"/>
        </w:rPr>
        <w:t xml:space="preserve">provided </w:t>
      </w:r>
      <w:r>
        <w:rPr>
          <w:rFonts w:ascii="Times New Roman" w:hAnsi="Times New Roman"/>
          <w:color w:val="000000"/>
          <w:sz w:val="23"/>
        </w:rPr>
        <w:t>that the Company shall not be responsible for any Excluded Losses. “Excluded Losses” shall mean Losses that arise out of or are based on any action of or failure to act by any Indemnitee to the extent such Losses are determined by a final, non-appealable judgment by a court to have resulted solely from such Indemnitee’s gross negligence, bad faith or willful misconduct (other than an action or failure to act undertaken at the request or with the consent of the Company).</w:t>
      </w:r>
    </w:p>
    <w:p>
      <w:pPr>
        <w:pStyle w:val="TextBody"/>
        <w:bidi w:val="0"/>
        <w:spacing w:before="240" w:after="283"/>
        <w:jc w:val="left"/>
        <w:rPr>
          <w:rFonts w:ascii="Times New Roman" w:hAnsi="Times New Roman"/>
          <w:sz w:val="20"/>
        </w:rPr>
      </w:pPr>
      <w:r>
        <w:rPr>
          <w:rFonts w:ascii="Times New Roman" w:hAnsi="Times New Roman"/>
          <w:color w:val="000000"/>
          <w:sz w:val="23"/>
        </w:rPr>
        <w:t>Without limiting any provision of the Investor Rights Agreement, dated September 22, 2020, between the Company and Corsair LP, or the Registration Rights Agreement, dated September 22, 2020, between the Company and Corsair LP, if any third-party action, claim (including any cause of action, whether in contract or tort or otherwise), suit, investigation, inquiry, proceeding, controversy or dispute related to a Loss (collectively, any “</w:t>
      </w:r>
      <w:r>
        <w:rPr>
          <w:rFonts w:ascii="Times New Roman" w:hAnsi="Times New Roman"/>
          <w:i/>
          <w:color w:val="000000"/>
          <w:sz w:val="23"/>
        </w:rPr>
        <w:t>Action</w:t>
      </w:r>
      <w:r>
        <w:rPr>
          <w:rFonts w:ascii="Times New Roman" w:hAnsi="Times New Roman"/>
          <w:color w:val="000000"/>
          <w:sz w:val="20"/>
        </w:rPr>
        <w:t>”</w:t>
      </w:r>
      <w:r>
        <w:rPr>
          <w:rFonts w:ascii="Times New Roman" w:hAnsi="Times New Roman"/>
          <w:color w:val="000000"/>
          <w:sz w:val="23"/>
        </w:rPr>
        <w:t>) is commenced, as to which an Indemnitee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3"/>
        </w:rPr>
        <w:t xml:space="preserve">proposes to demand indemnification, such Indemnitee shall notify the Company with reasonable promptness following the Indemnitee’s being notified of such Action, if the Company is not a party to such Action; </w:t>
      </w:r>
      <w:r>
        <w:rPr>
          <w:rFonts w:ascii="Times New Roman" w:hAnsi="Times New Roman"/>
          <w:i/>
          <w:color w:val="000000"/>
          <w:sz w:val="23"/>
        </w:rPr>
        <w:t>provided</w:t>
      </w:r>
      <w:r>
        <w:rPr>
          <w:rFonts w:ascii="Times New Roman" w:hAnsi="Times New Roman"/>
          <w:color w:val="000000"/>
          <w:sz w:val="23"/>
        </w:rPr>
        <w:t xml:space="preserve">, </w:t>
      </w:r>
      <w:r>
        <w:rPr>
          <w:rFonts w:ascii="Times New Roman" w:hAnsi="Times New Roman"/>
          <w:i/>
          <w:color w:val="000000"/>
          <w:sz w:val="23"/>
        </w:rPr>
        <w:t>however</w:t>
      </w:r>
      <w:r>
        <w:rPr>
          <w:rFonts w:ascii="Times New Roman" w:hAnsi="Times New Roman"/>
          <w:color w:val="000000"/>
          <w:sz w:val="23"/>
        </w:rPr>
        <w:t>, that any failure or delay by such Indemnitee to notify the Company shall not relieve the Company from its obligations hereunder (except to the extent (but only to the extent) that the Company shall not have otherwise learned of such Action and it is finally judicially determined by a court of competent jurisdiction (which determination is not subject to appeal) that the Company has been actually and materially prejudiced (through the forfeiture of substantive rights and defenses) by such failure to promptly notify). The Company shall be entitled to assume the defense of any such Action (other than any such Action that (i) is brought by the Company, (ii) seeks an injunction or equitable relief against the Indemnitee, (iii) relates to or arises in connection with any actual or potential criminal conduct, (iv) would reasonably be expected to have a material adverse effect on the Indemnitee’s business, (v) the Company has failed or is failing to defend in good faith, or (vi) is one in which the Indemnitee has been advised by counsel that a reasonable likelihood exists of a conflict of interest between the Indemnitee and the Company or that there are legal defenses available to the Indemnitee that are different from or in addition to those available to the Company), exercisable by giving written notice to such Indemnitee in which the Company confirms its responsibility to indemnify the Indemnitee in respect of such Action within ten business days after receipt of written notice from the Indemnitee of such assertion or commencement, including the employment of counsel reasonably satisfactory to the Indemnitee, except as provided below.</w:t>
      </w:r>
    </w:p>
    <w:p>
      <w:pPr>
        <w:pStyle w:val="TextBody"/>
        <w:bidi w:val="0"/>
        <w:spacing w:before="240" w:after="283"/>
        <w:jc w:val="left"/>
        <w:rPr>
          <w:rFonts w:ascii="Times New Roman" w:hAnsi="Times New Roman"/>
          <w:color w:val="000000"/>
          <w:sz w:val="23"/>
        </w:rPr>
      </w:pPr>
      <w:r>
        <w:rPr>
          <w:rFonts w:ascii="Times New Roman" w:hAnsi="Times New Roman"/>
          <w:color w:val="000000"/>
          <w:sz w:val="23"/>
        </w:rPr>
        <w:t>The Indemnitee shall have the right to employ separate counsel of its own choice to represent it in any Action the defense of which has been assumed by the Company and to participate in the defense thereof, but the fees and expenses of any such separate counsel (other than reasonable costs of investigation incurred prior to the Company’s assumption of the defense of such Action) shall be at the expense of the Indemnitee unless (i) the Company has failed to promptly assume the defense and employ counsel reasonably satisfactory to the Indemnitee in accordance with the preceding sentence; (ii) the use of counsel chosen by the Company to represent the Indemnitee would present such counsel with a conflict of interest, (iii) the Indemnitee shall have been advised by counsel that the representation of both parties by the same counsel would be inappropriate due to actual or potential differing interests between them, or (iv) the Company authorizes the Indemnitee to employ separate counsel at the Company’s expense (in each such case the Company will pay the fees and disbursements of such counsel, as incurred). The Company shall not, in connection with any Action described in clauses (i) through (iv) of the preceding sentence, be liable for the fees and expenses of more than one separate counsel (in addition to any local counsel) for all Indemnitees.</w:t>
      </w:r>
    </w:p>
    <w:p>
      <w:pPr>
        <w:pStyle w:val="TextBody"/>
        <w:bidi w:val="0"/>
        <w:spacing w:before="240" w:after="283"/>
        <w:jc w:val="left"/>
        <w:rPr>
          <w:rFonts w:ascii="Times New Roman" w:hAnsi="Times New Roman"/>
          <w:color w:val="000000"/>
          <w:sz w:val="23"/>
        </w:rPr>
      </w:pPr>
      <w:r>
        <w:rPr>
          <w:rFonts w:ascii="Times New Roman" w:hAnsi="Times New Roman"/>
          <w:color w:val="000000"/>
          <w:sz w:val="23"/>
        </w:rPr>
        <w:t>Consistent with the indemnity described above, the Company agrees to reimburse EagleTree for $94,207.15 in Losses incurred EagleTree prior to the date of this letter, as further detailed in the invoice that EagleTree will provide to the Company. The Company agrees to make this reimbursement payment promptly following receipt of such invoice by wire transfer of immediately available funds to the account set forth on the invoice, or to such other account as Corsair LP or EagleTree may designate in writing.</w:t>
      </w:r>
    </w:p>
    <w:p>
      <w:pPr>
        <w:pStyle w:val="TextBody"/>
        <w:bidi w:val="0"/>
        <w:spacing w:before="240" w:after="283"/>
        <w:jc w:val="left"/>
        <w:rPr>
          <w:rFonts w:ascii="Times New Roman" w:hAnsi="Times New Roman"/>
          <w:color w:val="000000"/>
          <w:sz w:val="23"/>
        </w:rPr>
      </w:pPr>
      <w:r>
        <w:rPr>
          <w:rFonts w:ascii="Times New Roman" w:hAnsi="Times New Roman"/>
          <w:color w:val="000000"/>
          <w:sz w:val="23"/>
        </w:rPr>
        <w:t>Please confirm your agreement with the foregoing arrangements by countersigning this letter and returning a copy to us.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3"/>
        </w:rPr>
        <w:t>[</w:t>
      </w:r>
      <w:r>
        <w:rPr>
          <w:rFonts w:ascii="Times New Roman" w:hAnsi="Times New Roman"/>
          <w:i/>
          <w:color w:val="000000"/>
          <w:sz w:val="23"/>
        </w:rPr>
        <w:t>Signature Page Follows</w:t>
      </w:r>
      <w:r>
        <w:rPr>
          <w:rFonts w:ascii="Times New Roman" w:hAnsi="Times New Roman"/>
          <w:color w:val="000000"/>
          <w:sz w:val="23"/>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3"/>
        </w:rPr>
        <w:t>Sincerely,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3"/>
        </w:rPr>
      </w:pPr>
      <w:r>
        <w:rPr>
          <w:rFonts w:ascii="Times New Roman" w:hAnsi="Times New Roman"/>
          <w:b/>
          <w:color w:val="000000"/>
          <w:sz w:val="23"/>
        </w:rPr>
        <w:t>CORSAIR GAMING,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3"/>
        </w:rPr>
        <w:t>By:</w:t>
      </w:r>
      <w:r>
        <w:rPr>
          <w:rFonts w:ascii="Times New Roman" w:hAnsi="Times New Roman"/>
          <w:color w:val="000000"/>
          <w:sz w:val="20"/>
          <w:u w:val="single"/>
        </w:rPr>
        <w:t xml:space="preserve"> </w:t>
      </w:r>
      <w:r>
        <w:rPr>
          <w:rFonts w:ascii="Times New Roman" w:hAnsi="Times New Roman"/>
          <w:color w:val="000000"/>
          <w:sz w:val="23"/>
          <w:u w:val="single"/>
        </w:rPr>
        <w:t xml:space="preserve">/s/ Michael G. Potter </w:t>
      </w:r>
    </w:p>
    <w:p>
      <w:pPr>
        <w:pStyle w:val="TextBody"/>
        <w:bidi w:val="0"/>
        <w:jc w:val="left"/>
        <w:rPr>
          <w:rFonts w:ascii="Times New Roman" w:hAnsi="Times New Roman"/>
          <w:color w:val="000000"/>
          <w:sz w:val="23"/>
        </w:rPr>
      </w:pPr>
      <w:r>
        <w:rPr>
          <w:rFonts w:ascii="Times New Roman" w:hAnsi="Times New Roman"/>
          <w:color w:val="000000"/>
          <w:sz w:val="23"/>
        </w:rPr>
        <w:t>Name: Michael G. Potter</w:t>
        <w:br/>
        <w:t>Title: Chief Financial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3"/>
        </w:rPr>
        <w:t>ACCEPTED AND AGREED</w:t>
      </w:r>
      <w:r>
        <w:rPr>
          <w:rFonts w:ascii="Times New Roman" w:hAnsi="Times New Roman"/>
          <w:color w:val="000000"/>
          <w:sz w:val="23"/>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3"/>
        </w:rPr>
      </w:pPr>
      <w:r>
        <w:rPr>
          <w:rFonts w:ascii="Times New Roman" w:hAnsi="Times New Roman"/>
          <w:b/>
          <w:color w:val="000000"/>
          <w:sz w:val="23"/>
        </w:rPr>
        <w:t>CORSAIR GROUP (CAYMAN), LP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3"/>
        </w:rPr>
        <w:t>By: EagleTree-Carbide (GP), LLC,</w:t>
        <w:br/>
      </w:r>
      <w:r>
        <w:rPr>
          <w:rFonts w:ascii="Times New Roman" w:hAnsi="Times New Roman"/>
          <w:i/>
          <w:color w:val="000000"/>
          <w:sz w:val="23"/>
        </w:rPr>
        <w:t>its General Partner</w:t>
      </w:r>
      <w:r>
        <w:rPr>
          <w:rFonts w:ascii="Times New Roman" w:hAnsi="Times New Roman"/>
          <w:color w:val="000000"/>
          <w:sz w:val="23"/>
        </w:rPr>
        <w:br/>
        <w:br/>
        <w:t>By: EagleTree Partners IV (GP), LP,</w:t>
        <w:br/>
      </w:r>
      <w:r>
        <w:rPr>
          <w:rFonts w:ascii="Times New Roman" w:hAnsi="Times New Roman"/>
          <w:i/>
          <w:color w:val="000000"/>
          <w:sz w:val="23"/>
        </w:rPr>
        <w:t>its Sole Member</w:t>
      </w:r>
      <w:r>
        <w:rPr>
          <w:rFonts w:ascii="Times New Roman" w:hAnsi="Times New Roman"/>
          <w:color w:val="000000"/>
          <w:sz w:val="23"/>
        </w:rPr>
        <w:br/>
        <w:br/>
        <w:t>By: EagleTree Partners IV Ultimate GP, LLC,</w:t>
        <w:br/>
      </w:r>
      <w:r>
        <w:rPr>
          <w:rFonts w:ascii="Times New Roman" w:hAnsi="Times New Roman"/>
          <w:i/>
          <w:color w:val="000000"/>
          <w:sz w:val="23"/>
        </w:rPr>
        <w:t>its General Partner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3"/>
        </w:rPr>
        <w:t>By:</w:t>
      </w:r>
      <w:r>
        <w:rPr>
          <w:rFonts w:ascii="Times New Roman" w:hAnsi="Times New Roman"/>
          <w:color w:val="000000"/>
          <w:sz w:val="20"/>
          <w:u w:val="single"/>
        </w:rPr>
        <w:t xml:space="preserve"> </w:t>
      </w:r>
      <w:r>
        <w:rPr>
          <w:rFonts w:ascii="Times New Roman" w:hAnsi="Times New Roman"/>
          <w:color w:val="000000"/>
          <w:sz w:val="23"/>
          <w:u w:val="single"/>
        </w:rPr>
        <w:t xml:space="preserve">/s/ George L. Majoros, Jr. </w:t>
      </w:r>
    </w:p>
    <w:p>
      <w:pPr>
        <w:pStyle w:val="TextBody"/>
        <w:bidi w:val="0"/>
        <w:jc w:val="left"/>
        <w:rPr>
          <w:rFonts w:ascii="Times New Roman" w:hAnsi="Times New Roman"/>
          <w:color w:val="000000"/>
          <w:sz w:val="23"/>
        </w:rPr>
      </w:pPr>
      <w:r>
        <w:rPr>
          <w:rFonts w:ascii="Times New Roman" w:hAnsi="Times New Roman"/>
          <w:color w:val="000000"/>
          <w:sz w:val="23"/>
        </w:rPr>
        <w:t>Name: George L. Majoros, Jr.</w:t>
        <w:br/>
        <w:t>Title: Co-Managing Member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3"/>
        </w:rPr>
        <w:t xml:space="preserve">By: </w:t>
      </w:r>
      <w:r>
        <w:rPr>
          <w:rFonts w:ascii="Times New Roman" w:hAnsi="Times New Roman"/>
          <w:color w:val="000000"/>
          <w:sz w:val="23"/>
          <w:u w:val="single"/>
        </w:rPr>
        <w:t xml:space="preserve">/s/ Anup Bagaria </w:t>
      </w:r>
    </w:p>
    <w:p>
      <w:pPr>
        <w:pStyle w:val="TextBody"/>
        <w:bidi w:val="0"/>
        <w:jc w:val="left"/>
        <w:rPr>
          <w:rFonts w:ascii="Times New Roman" w:hAnsi="Times New Roman"/>
          <w:color w:val="000000"/>
          <w:sz w:val="23"/>
        </w:rPr>
      </w:pPr>
      <w:r>
        <w:rPr>
          <w:rFonts w:ascii="Times New Roman" w:hAnsi="Times New Roman"/>
          <w:color w:val="000000"/>
          <w:sz w:val="23"/>
        </w:rPr>
        <w:t>Name: Anup Bagaria</w:t>
        <w:br/>
        <w:t>Title: Co-Managing Member</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Corsair Indemnity and Reimbursement Letter</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bookmarkStart w:id="25" w:name="crsr-ex31_1.htm"/>
      <w:bookmarkStart w:id="26" w:name="kscrsrex31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Andrew J. Paul,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Corsair Gaming,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846"/>
        <w:gridCol w:w="109"/>
        <w:gridCol w:w="40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J. Paul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Andrew J. Paul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crsr-ex31_2.htm"/>
      <w:bookmarkStart w:id="28" w:name="kscrsrex31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G. Potter,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Corsair Gaming,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7672" w:type="dxa"/>
        <w:jc w:val="left"/>
        <w:tblInd w:w="0" w:type="dxa"/>
        <w:tblLayout w:type="fixed"/>
        <w:tblCellMar>
          <w:top w:w="28" w:type="dxa"/>
          <w:left w:w="28" w:type="dxa"/>
          <w:bottom w:w="28" w:type="dxa"/>
          <w:right w:w="28" w:type="dxa"/>
        </w:tblCellMar>
      </w:tblPr>
      <w:tblGrid>
        <w:gridCol w:w="1846"/>
        <w:gridCol w:w="109"/>
        <w:gridCol w:w="406"/>
        <w:gridCol w:w="53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G. Potter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G. Potter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crsr-ex32_1.htm"/>
      <w:bookmarkStart w:id="30" w:name="kscrsrex32_1"/>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CERTIFICATIONS OF CHIEF EXECUTIVE OFFICER AND CHIEF FINANCIAL OFFICER</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Corsair Gaming, Inc. (the “Company”) on Form 10-Q for the quarter ended June 30, 2024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846"/>
        <w:gridCol w:w="109"/>
        <w:gridCol w:w="40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J. Paul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Andrew J. Paul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7672" w:type="dxa"/>
        <w:jc w:val="left"/>
        <w:tblInd w:w="0" w:type="dxa"/>
        <w:tblLayout w:type="fixed"/>
        <w:tblCellMar>
          <w:top w:w="28" w:type="dxa"/>
          <w:left w:w="28" w:type="dxa"/>
          <w:bottom w:w="28" w:type="dxa"/>
          <w:right w:w="28" w:type="dxa"/>
        </w:tblCellMar>
      </w:tblPr>
      <w:tblGrid>
        <w:gridCol w:w="1846"/>
        <w:gridCol w:w="109"/>
        <w:gridCol w:w="406"/>
        <w:gridCol w:w="53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G. Potter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G. Potter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3759/000119312520254569/d65933dex31.htm" TargetMode="External"/><Relationship Id="rId3" Type="http://schemas.openxmlformats.org/officeDocument/2006/relationships/hyperlink" Target="https://www.sec.gov/Archives/edgar/data/1743759/000119312520254569/d65933dex32.htm" TargetMode="External"/><Relationship Id="rId4" Type="http://schemas.openxmlformats.org/officeDocument/2006/relationships/hyperlink" Target="https://www.sec.gov/Archives/edgar/data/1743759/000119312520248527/d507744dex42.htm" TargetMode="External"/><Relationship Id="rId5" Type="http://schemas.openxmlformats.org/officeDocument/2006/relationships/hyperlink" Target="https://www.sec.gov/Archives/edgar/data/1743759/000156459020052867/crsr-ex42_448.htm" TargetMode="External"/><Relationship Id="rId6" Type="http://schemas.openxmlformats.org/officeDocument/2006/relationships/hyperlink" Target="https://www.sec.gov/Archives/edgar/data/0001743759/000156459021012507/crsr-ex43_1280.htm" TargetMode="External"/><Relationship Id="rId7" Type="http://schemas.openxmlformats.org/officeDocument/2006/relationships/hyperlink" Target="https://www.sec.gov/Archives/edgar/data/0001743759/000119312520244634/d507744dex44.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21472</Words>
  <Characters>115402</Characters>
  <CharactersWithSpaces>138804</CharactersWithSpaces>
  <Paragraphs>7874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