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1" w:color="000000"/>
        </w:pBdr>
        <w:bidi w:val="0"/>
        <w:spacing w:before="0" w:after="40"/>
        <w:jc w:val="left"/>
        <w:rPr/>
      </w:pPr>
      <w:bookmarkStart w:id="0" w:name="crsr_defa_14a_2026.htm"/>
      <w:bookmarkStart w:id="1" w:name="kscrsr_defa_14a_2026"/>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(Amendment No. )</w:t>
      </w:r>
      <w:r>
        <w:rPr>
          <w:rFonts w:ascii="Times New Roman" w:hAnsi="Times New Roman"/>
          <w:color w:val="000000"/>
          <w:sz w:val="20"/>
        </w:rPr>
        <w:t xml:space="preserve"> </w:t>
      </w:r>
    </w:p>
    <w:p>
      <w:pPr>
        <w:pStyle w:val="TextBody"/>
        <w:bidi w:val="0"/>
        <w:spacing w:before="40" w:after="80"/>
        <w:jc w:val="left"/>
        <w:rPr>
          <w:rFonts w:ascii="Times New Roman" w:hAnsi="Times New Roman"/>
          <w:color w:val="000000"/>
          <w:sz w:val="20"/>
        </w:rPr>
      </w:pPr>
      <w:r>
        <w:rPr>
          <w:rFonts w:ascii="Times New Roman" w:hAnsi="Times New Roman"/>
          <w:color w:val="000000"/>
          <w:sz w:val="20"/>
        </w:rPr>
        <w:t xml:space="preserve">Filed by the Registrant ☒ Filed by a party other than the Registrant ☐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jc w:val="left"/>
        <w:rPr/>
      </w:pPr>
      <w:r>
        <w:rPr/>
        <w:t> </w:t>
      </w:r>
    </w:p>
    <w:p>
      <w:pPr>
        <w:pStyle w:val="TextBody"/>
        <w:bidi w:val="0"/>
        <w:spacing w:before="0" w:after="80"/>
        <w:jc w:val="center"/>
        <w:rPr>
          <w:rFonts w:ascii="Times New Roman" w:hAnsi="Times New Roman"/>
          <w:sz w:val="20"/>
        </w:rPr>
      </w:pPr>
      <w:r>
        <w:rPr>
          <w:rFonts w:ascii="Times New Roman" w:hAnsi="Times New Roman"/>
          <w:b/>
          <w:color w:val="000000"/>
          <w:sz w:val="44"/>
        </w:rPr>
        <w:t>Corsair Gaming, Inc.</w:t>
      </w:r>
      <w:r>
        <w:rPr>
          <w:rFonts w:ascii="Times New Roman" w:hAnsi="Times New Roman"/>
          <w:color w:val="000000"/>
          <w:sz w:val="20"/>
        </w:rPr>
        <w:t xml:space="preserve"> </w:t>
      </w:r>
    </w:p>
    <w:p>
      <w:pPr>
        <w:pStyle w:val="TextBody"/>
        <w:bidi w:val="0"/>
        <w:spacing w:before="0" w:after="8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0" w:after="80"/>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6587" w:type="dxa"/>
        <w:jc w:val="left"/>
        <w:tblInd w:w="0" w:type="dxa"/>
        <w:tblLayout w:type="fixed"/>
        <w:tblCellMar>
          <w:top w:w="28" w:type="dxa"/>
          <w:left w:w="28" w:type="dxa"/>
          <w:bottom w:w="28" w:type="dxa"/>
          <w:right w:w="28" w:type="dxa"/>
        </w:tblCellMar>
      </w:tblPr>
      <w:tblGrid>
        <w:gridCol w:w="331"/>
        <w:gridCol w:w="6256"/>
      </w:tblGrid>
      <w:tr>
        <w:trPr/>
        <w:tc>
          <w:tcPr>
            <w:tcW w:w="331"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below per Exchange Act Rules 14a-6(i)(1) and 0-11.</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FFFFFF"/>
          <w:sz w:val="4"/>
        </w:rPr>
        <w:t>0000000</w:t>
      </w:r>
      <w:r>
        <w:rPr>
          <w:rFonts w:ascii="Times New Roman" w:hAnsi="Times New Roman"/>
          <w:sz w:val="20"/>
        </w:rPr>
        <w:drawing>
          <wp:inline distT="0" distB="0" distL="0" distR="0">
            <wp:extent cx="5943600" cy="7343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343775"/>
                    </a:xfrm>
                    <a:prstGeom prst="rect">
                      <a:avLst/>
                    </a:prstGeom>
                  </pic:spPr>
                </pic:pic>
              </a:graphicData>
            </a:graphic>
          </wp:inline>
        </w:drawing>
      </w:r>
    </w:p>
    <w:p>
      <w:pPr>
        <w:pStyle w:val="TextBody"/>
        <w:bidi w:val="0"/>
        <w:jc w:val="center"/>
        <w:rPr>
          <w:rFonts w:ascii="Aptos;sans-serif" w:hAnsi="Aptos;sans-serif"/>
          <w:color w:val="FFFFFF"/>
          <w:sz w:val="4"/>
        </w:rPr>
      </w:pPr>
      <w:r>
        <w:rPr>
          <w:rFonts w:ascii="Aptos;sans-serif" w:hAnsi="Aptos;sans-serif"/>
          <w:color w:val="FFFFFF"/>
          <w:sz w:val="4"/>
        </w:rPr>
        <w:t>Your Vote Counts! CORSAIR GAMING, INC. 2025 Annual Meeting Vote by June 9, 2025 11:59 PM ET CORSAIR GAMING, INC. 115 N. MCCARTHY BOULEVARD MILPITAS, CA 95035 V73368-P26848 You invested in CORSAIR GAMING, INC. and it’s time to vote! You have the right to vote on proposals being presented at the Annual Meeting. This is an important notice regarding the availability of proxy materials for the stockholder meeting to be held on June 10, 2025. Get informed before you vote View the Proxy Statement and Form 10-K online OR you can receive a free paper or email copy of the material(s) by requesting prior to May 27, 2025. If you would like to request a copy of the material(s) for this and/or future stockholder meetings, you may (1) visit www.ProxyVote.com, (2) call 1-800-579-1639 or (3) send an email 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27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277100"/>
                    </a:xfrm>
                    <a:prstGeom prst="rect">
                      <a:avLst/>
                    </a:prstGeom>
                  </pic:spPr>
                </pic:pic>
              </a:graphicData>
            </a:graphic>
          </wp:inline>
        </w:drawing>
      </w:r>
      <w:r>
        <w:rPr>
          <w:color w:val="000000"/>
        </w:rPr>
        <w:t xml:space="preserve"> </w:t>
      </w:r>
      <w:r>
        <w:rPr>
          <w:rFonts w:ascii="Aptos;sans-serif" w:hAnsi="Aptos;sans-serif"/>
          <w:color w:val="FFFFFF"/>
          <w:sz w:val="2"/>
        </w:rPr>
        <w:t>Vote at www.ProxyVote.com THIS IS NOT A VOTABLE BALLOT This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FFFFFF"/>
          <w:sz w:val="4"/>
        </w:rPr>
        <w:t>is an overview of the</w:t>
      </w:r>
      <w:r>
        <w:rPr>
          <w:rFonts w:ascii="Times New Roman" w:hAnsi="Times New Roman"/>
          <w:color w:val="FFFFFF"/>
          <w:sz w:val="20"/>
        </w:rPr>
        <w:t xml:space="preserve">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284</Words>
  <Characters>1443</Characters>
  <CharactersWithSpaces>1735</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