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2.jpeg" ContentType="image/jpeg"/>
  <Override PartName="/word/media/image29.jpeg" ContentType="image/jpeg"/>
  <Override PartName="/word/media/image10.jpeg" ContentType="image/jpeg"/>
  <Override PartName="/word/media/image35.jpeg" ContentType="image/jpeg"/>
  <Override PartName="/word/media/image13.jpeg" ContentType="image/jpeg"/>
  <Override PartName="/word/media/image9.jpeg" ContentType="image/jpeg"/>
  <Override PartName="/word/media/image1.gif" ContentType="image/gif"/>
  <Override PartName="/word/media/image11.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sr-20260507.htm"/>
      <w:bookmarkStart w:id="1" w:name="kscrsr20260507"/>
      <w:bookmarkEnd w:id="0"/>
      <w:bookmarkEnd w:id="1"/>
      <w:r>
        <w:rPr/>
        <w:t> </w:t>
      </w:r>
    </w:p>
    <w:p>
      <w:pPr>
        <w:pStyle w:val="TextBody"/>
        <w:pBdr>
          <w:top w:val="double" w:sz="6" w:space="1" w:color="000000"/>
        </w:pBdr>
        <w:bidi w:val="0"/>
        <w:jc w:val="both"/>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CORSAIR GAMING,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0"/>
        <w:gridCol w:w="865"/>
        <w:gridCol w:w="870"/>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82-2335306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115 N. McCarthy Boulevard</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Milpitas,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657-8747</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CRSR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7, 2026, Corsair Gaming, Inc. (“Corsair” or the “Company”) issued a press release announcing its financial results for the fiscal quarter ended March 31, 2026. The full text of the press release is furnished as Exhibit 99.1 to this Current Report on Form 8-K. A presentation regarding the Company’s fiscal quarter ended March 31, 2026 is furnished as Exhibit 99.2 hereto.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9283" w:type="dxa"/>
        <w:jc w:val="left"/>
        <w:tblInd w:w="0" w:type="dxa"/>
        <w:tblLayout w:type="fixed"/>
        <w:tblCellMar>
          <w:top w:w="28" w:type="dxa"/>
          <w:left w:w="28" w:type="dxa"/>
          <w:bottom w:w="28" w:type="dxa"/>
          <w:right w:w="28" w:type="dxa"/>
        </w:tblCellMar>
      </w:tblPr>
      <w:tblGrid>
        <w:gridCol w:w="811"/>
        <w:gridCol w:w="146"/>
        <w:gridCol w:w="832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rsr-ex99_1.htm">
              <w:r>
                <w:rPr>
                  <w:rStyle w:val="InternetLink"/>
                  <w:rFonts w:ascii="Times New Roman" w:hAnsi="Times New Roman"/>
                  <w:color w:val="0000FF"/>
                  <w:sz w:val="20"/>
                  <w:u w:val="single"/>
                </w:rPr>
                <w:t>Press Release dated May 7, 2026, titled “Corsair Reports Strong Profit Growth for First Quarter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rsr-ex99_2.htm">
              <w:r>
                <w:rPr>
                  <w:rStyle w:val="InternetLink"/>
                  <w:rFonts w:ascii="Times New Roman" w:hAnsi="Times New Roman"/>
                  <w:color w:val="0000FF"/>
                  <w:sz w:val="20"/>
                  <w:u w:val="single"/>
                </w:rPr>
                <w:t>Investor Presentation dated May 7,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and Exhibit 99.1 and Exhibit 99.2 attached hereto shall not be deemed to be “filed” for the purposes of Section 18 of the Securities Exchange Act of 1934, as amended, or otherwise subject to the liabilities of Sections 11 and 12(a)(2) of the Securities Act of 1933, as amended. The information contained herein and in the accompanying exhibits shall not be incorporated by reference into any filing with the U.S. Securities and Exchange Commission made by Corsair Gaming, Inc., whether made before or after the date hereof, regardless of any general incorporation language in such filing.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1636"/>
        <w:gridCol w:w="109"/>
        <w:gridCol w:w="406"/>
        <w:gridCol w:w="53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CORSAIR GAMING,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Gordon Mattingly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Gordon Mattingly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crsr-ex99_1.htm"/>
      <w:bookmarkStart w:id="3" w:name="kscrsrex99_1"/>
      <w:bookmarkEnd w:id="2"/>
      <w:bookmarkEnd w:id="3"/>
      <w:r>
        <w:rPr>
          <w:rFonts w:ascii="sans-serif" w:hAnsi="sans-serif"/>
          <w:b/>
          <w:color w:val="000000"/>
          <w:sz w:val="22"/>
        </w:rPr>
        <w:t>Exhibit 99.1</w:t>
      </w:r>
      <w:r>
        <w:br w:type="page"/>
      </w:r>
    </w:p>
    <w:p>
      <w:pPr>
        <w:pStyle w:val="TextBody"/>
        <w:bidi w:val="0"/>
        <w:jc w:val="left"/>
        <w:rPr/>
      </w:pPr>
      <w:r>
        <w:rPr/>
        <w:t> </w:t>
      </w:r>
    </w:p>
    <w:p>
      <w:pPr>
        <w:pStyle w:val="TextBody"/>
        <w:bidi w:val="0"/>
        <w:jc w:val="left"/>
        <w:rPr/>
      </w:pPr>
      <w:r>
        <w:rPr/>
        <w:drawing>
          <wp:inline distT="0" distB="0" distL="0" distR="0">
            <wp:extent cx="23907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60007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Corsair Reports Strong Profit Growth for First Quarter 2026</w:t>
      </w:r>
    </w:p>
    <w:p>
      <w:pPr>
        <w:pStyle w:val="TextBody"/>
        <w:bidi w:val="0"/>
        <w:jc w:val="center"/>
        <w:rPr/>
      </w:pPr>
      <w:r>
        <w:rPr/>
        <w:t> </w:t>
      </w:r>
    </w:p>
    <w:p>
      <w:pPr>
        <w:pStyle w:val="TextBody"/>
        <w:bidi w:val="0"/>
        <w:spacing w:before="120" w:after="283"/>
        <w:jc w:val="center"/>
        <w:rPr>
          <w:rFonts w:ascii="Arial" w:hAnsi="Arial"/>
          <w:b/>
          <w:i/>
          <w:color w:val="000000"/>
          <w:sz w:val="20"/>
        </w:rPr>
      </w:pPr>
      <w:r>
        <w:rPr>
          <w:rFonts w:ascii="Arial" w:hAnsi="Arial"/>
          <w:b/>
          <w:i/>
          <w:color w:val="000000"/>
          <w:sz w:val="20"/>
        </w:rPr>
        <w:t>Record First Quarter Gross Margin of 32.7%</w:t>
      </w:r>
    </w:p>
    <w:p>
      <w:pPr>
        <w:pStyle w:val="TextBody"/>
        <w:bidi w:val="0"/>
        <w:spacing w:before="120" w:after="283"/>
        <w:jc w:val="center"/>
        <w:rPr>
          <w:rFonts w:ascii="Arial" w:hAnsi="Arial"/>
          <w:b/>
          <w:i/>
          <w:color w:val="000000"/>
          <w:sz w:val="20"/>
        </w:rPr>
      </w:pPr>
      <w:r>
        <w:rPr>
          <w:rFonts w:ascii="Arial" w:hAnsi="Arial"/>
          <w:b/>
          <w:i/>
          <w:color w:val="000000"/>
          <w:sz w:val="20"/>
        </w:rPr>
        <w:t>$23.4 Million YoY increase in Net Income</w:t>
      </w:r>
    </w:p>
    <w:p>
      <w:pPr>
        <w:pStyle w:val="TextBody"/>
        <w:bidi w:val="0"/>
        <w:spacing w:before="120" w:after="283"/>
        <w:jc w:val="center"/>
        <w:rPr>
          <w:rFonts w:ascii="Arial" w:hAnsi="Arial"/>
          <w:b/>
          <w:i/>
          <w:color w:val="000000"/>
          <w:sz w:val="20"/>
        </w:rPr>
      </w:pPr>
      <w:r>
        <w:rPr>
          <w:rFonts w:ascii="Arial" w:hAnsi="Arial"/>
          <w:b/>
          <w:i/>
          <w:color w:val="000000"/>
          <w:sz w:val="20"/>
        </w:rPr>
        <w:t>58% YoY Increase in Adjusted EBITDA to $35.8 Million, Above Guidance</w:t>
      </w:r>
    </w:p>
    <w:p>
      <w:pPr>
        <w:pStyle w:val="TextBody"/>
        <w:bidi w:val="0"/>
        <w:spacing w:before="120" w:after="283"/>
        <w:jc w:val="center"/>
        <w:rPr>
          <w:rFonts w:ascii="Arial" w:hAnsi="Arial"/>
          <w:b/>
          <w:i/>
          <w:color w:val="000000"/>
          <w:sz w:val="20"/>
        </w:rPr>
      </w:pPr>
      <w:r>
        <w:rPr>
          <w:rFonts w:ascii="Arial" w:hAnsi="Arial"/>
          <w:b/>
          <w:i/>
          <w:color w:val="000000"/>
          <w:sz w:val="20"/>
        </w:rPr>
        <w:t>$0.11 / $0.27 GAAP / Non-GAAP EPS, Above Guidance</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 xml:space="preserve">MILPITAS, CA, May 7, 2026 </w:t>
      </w:r>
      <w:r>
        <w:rPr>
          <w:rFonts w:ascii="Times New Roman" w:hAnsi="Times New Roman"/>
          <w:color w:val="000000"/>
          <w:sz w:val="20"/>
        </w:rPr>
        <w:t xml:space="preserve">– </w:t>
      </w:r>
      <w:r>
        <w:rPr>
          <w:rFonts w:ascii="sans-serif" w:hAnsi="sans-serif"/>
          <w:color w:val="000000"/>
          <w:sz w:val="22"/>
        </w:rPr>
        <w:t>Corsair Gaming, Inc. (Nasdaq: CRSR) (“Corsair” or the “Company”), a leading global provider and innovator of high-performance products for gamers, streamers, content-creators, gaming PC builders, and sim racing enthusiasts, today announced financial results for the first quarter 2026, and guidance for the second quarter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First Quarter 2026 Select Financial Highlights (compared to first quarter 2025 unless otherwise stated)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Gross profit increased 13% YoY to $116.0 million, with growth driven by both segments, despite tariff-related headwinds in Gamer and Creator Peripherals.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Gross margin expanded 500 basis points YoY to 32.7%, reflecting continued shift toward higher-margin products and disciplined cost management.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income increased $23.4 million YoY.</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Adjusted EBITDA increased 58% YoY to $35.8 million, above the high end of guidance, representing our second consecutive quarter of double-digit adjusted EBITDA margin.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GAAP diluted earnings per share increased 210% YoY to $0.11, while non-GAAP diluted earnings per share increased 145% YoY to $0.27.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Revenue of $354.5 million, above the midpoint of our guided range, reflecting strong growth in Gamer and Creator Peripherals, partially offset by softer demand in Gaming Components and Systems driven by ongoing semiconductor supply constraints and elevated pricing.</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Cash and restricted cash increased sequentially by $20.9 million to $119.7 million, providing flexibility for continued investment and capital returns.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Approximately $5 million repurchased under our $50 million share repurchase program.</w:t>
      </w:r>
    </w:p>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Definitions of the non-GAAP financial measures used in this press release and reconciliations of such measures to their nearest GAAP equivalents are included below under the heading “Use and Reconciliation of Non-GAAP Financial Measures.”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Business Segment Highlights: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Gamer and Creator Peripherals Segment</w:t>
      </w:r>
    </w:p>
    <w:p>
      <w:pPr>
        <w:pStyle w:val="TextBody"/>
        <w:bidi w:val="0"/>
        <w:spacing w:before="60" w:after="60"/>
        <w:jc w:val="left"/>
        <w:rPr>
          <w:rFonts w:ascii="sans-serif" w:hAnsi="sans-serif"/>
          <w:color w:val="000000"/>
          <w:sz w:val="22"/>
        </w:rPr>
      </w:pPr>
      <w:r>
        <w:rPr>
          <w:rFonts w:ascii="sans-serif" w:hAnsi="sans-serif"/>
          <w:color w:val="000000"/>
          <w:sz w:val="22"/>
        </w:rPr>
        <w:t>Revenue grew 10% year over year to $123.3 million, with strong demand across gaming peripherals, streaming components, and Sim Racing solutions. Growth reflects market share gains, successful new product introductions, and continued ecosystem expansion.</w:t>
      </w:r>
    </w:p>
    <w:p>
      <w:pPr>
        <w:pStyle w:val="TextBody"/>
        <w:bidi w:val="0"/>
        <w:spacing w:before="0" w:after="60"/>
        <w:jc w:val="left"/>
        <w:rPr/>
      </w:pPr>
      <w:r>
        <w:rPr/>
        <w:t> </w:t>
      </w:r>
    </w:p>
    <w:p>
      <w:pPr>
        <w:pStyle w:val="TextBody"/>
        <w:bidi w:val="0"/>
        <w:spacing w:before="0" w:after="60"/>
        <w:jc w:val="left"/>
        <w:rPr>
          <w:rFonts w:ascii="sans-serif" w:hAnsi="sans-serif"/>
          <w:color w:val="000000"/>
          <w:sz w:val="22"/>
        </w:rPr>
      </w:pPr>
      <w:r>
        <w:rPr>
          <w:rFonts w:ascii="sans-serif" w:hAnsi="sans-serif"/>
          <w:color w:val="000000"/>
          <w:sz w:val="22"/>
        </w:rPr>
        <w:t>Gross profit increased 8% year over year to $50.3 million, despite tariff-related headwinds, with the segment continuing to benefit from a favorable shift toward higher-margin categories.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60"/>
        <w:jc w:val="left"/>
        <w:rPr>
          <w:rFonts w:ascii="sans-serif" w:hAnsi="sans-serif"/>
          <w:color w:val="000000"/>
          <w:sz w:val="22"/>
        </w:rPr>
      </w:pPr>
      <w:r>
        <w:rPr>
          <w:rFonts w:ascii="sans-serif" w:hAnsi="sans-serif"/>
          <w:color w:val="000000"/>
          <w:sz w:val="22"/>
        </w:rPr>
        <w:t>Elgato continued to build momentum across both hardware and software. The Elgato Marketplace delivered double-digit sequential growth in new accounts and digital products, driven by increasing engagement from creators and developers. The rise of AI-assisted development has meaningfully lowered the barrier to building and distributing tools within the Stream Deck ecosystem, accelerating platform adoption and reinforcing Elgato Marketplace as the hub for content creation.</w:t>
      </w:r>
    </w:p>
    <w:p>
      <w:pPr>
        <w:pStyle w:val="TextBody"/>
        <w:bidi w:val="0"/>
        <w:jc w:val="left"/>
        <w:rPr/>
      </w:pPr>
      <w:r>
        <w:rPr/>
        <w:t> </w:t>
      </w:r>
    </w:p>
    <w:p>
      <w:pPr>
        <w:pStyle w:val="TextBody"/>
        <w:bidi w:val="0"/>
        <w:spacing w:before="60" w:after="60"/>
        <w:jc w:val="left"/>
        <w:rPr>
          <w:rFonts w:ascii="sans-serif" w:hAnsi="sans-serif"/>
          <w:color w:val="000000"/>
          <w:sz w:val="22"/>
        </w:rPr>
      </w:pPr>
      <w:r>
        <w:rPr>
          <w:rFonts w:ascii="sans-serif" w:hAnsi="sans-serif"/>
          <w:color w:val="000000"/>
          <w:sz w:val="22"/>
        </w:rPr>
        <w:t>During the quarter, we launched Wave Next, the most ambitious evolution of our Elgato audio platform to date. Wave Next unifies fragmented audio workflows into a single, scalable ecosystem, integrating professional-grade software, purpose-built hardware with the new Wave FX engine, onboard digital signal processing for reduced latency, and intuitive tactile control. This integrated approach simplifies the creator’s experience while delivering meaningfully higher performance and extensibility.</w:t>
      </w:r>
    </w:p>
    <w:p>
      <w:pPr>
        <w:pStyle w:val="TextBody"/>
        <w:bidi w:val="0"/>
        <w:spacing w:before="0" w:after="60"/>
        <w:jc w:val="left"/>
        <w:rPr/>
      </w:pPr>
      <w:r>
        <w:rPr/>
        <w:t> </w:t>
      </w:r>
    </w:p>
    <w:p>
      <w:pPr>
        <w:pStyle w:val="TextBody"/>
        <w:bidi w:val="0"/>
        <w:spacing w:before="0" w:after="60"/>
        <w:jc w:val="left"/>
        <w:rPr>
          <w:rFonts w:ascii="sans-serif" w:hAnsi="sans-serif"/>
          <w:color w:val="000000"/>
          <w:sz w:val="22"/>
        </w:rPr>
      </w:pPr>
      <w:r>
        <w:rPr>
          <w:rFonts w:ascii="sans-serif" w:hAnsi="sans-serif"/>
          <w:color w:val="000000"/>
          <w:sz w:val="22"/>
        </w:rPr>
        <w:t>Sim Racing also had a strong quarter with double digit year over year revenue growth supported by community engagement, channel expansion, and continued product innovation across the Fanatec portfolio. We recently signed a strategic partnership with Formula 1®, naming Fanatec as both a licensed partner of the F1® brand and F1® Esports Official Partner. This helps to open doors, in terms of product authenticity, brand reach, and community engagement, that we intend to capitalize on. Combined with continued channel expansion and product innovation across the Fanatec portfolio, Sim Racing is a category where we see sustained momentum ahead.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Gaming Components and Systems Segment</w:t>
      </w:r>
    </w:p>
    <w:p>
      <w:pPr>
        <w:pStyle w:val="TextBody"/>
        <w:bidi w:val="0"/>
        <w:spacing w:before="60" w:after="60"/>
        <w:jc w:val="left"/>
        <w:rPr>
          <w:rFonts w:ascii="sans-serif" w:hAnsi="sans-serif"/>
          <w:color w:val="000000"/>
          <w:sz w:val="22"/>
        </w:rPr>
      </w:pPr>
      <w:r>
        <w:rPr>
          <w:rFonts w:ascii="sans-serif" w:hAnsi="sans-serif"/>
          <w:color w:val="000000"/>
          <w:sz w:val="22"/>
        </w:rPr>
        <w:t>Revenue declined 10% year over year to $231.2 million, reflecting softer demand in the DIY PC market. Ongoing global semiconductor supply constraints have reduced component availability, while elevated pricing has weighed on consumer demand, both dynamics we expect to persist through the near term.</w:t>
      </w:r>
    </w:p>
    <w:p>
      <w:pPr>
        <w:pStyle w:val="TextBody"/>
        <w:bidi w:val="0"/>
        <w:spacing w:before="0" w:after="60"/>
        <w:jc w:val="left"/>
        <w:rPr/>
      </w:pPr>
      <w:r>
        <w:rPr/>
        <w:t> </w:t>
      </w:r>
    </w:p>
    <w:p>
      <w:pPr>
        <w:pStyle w:val="TextBody"/>
        <w:bidi w:val="0"/>
        <w:spacing w:before="0" w:after="60"/>
        <w:jc w:val="left"/>
        <w:rPr>
          <w:rFonts w:ascii="sans-serif" w:hAnsi="sans-serif"/>
          <w:color w:val="000000"/>
          <w:sz w:val="22"/>
        </w:rPr>
      </w:pPr>
      <w:r>
        <w:rPr>
          <w:rFonts w:ascii="sans-serif" w:hAnsi="sans-serif"/>
          <w:color w:val="000000"/>
          <w:sz w:val="22"/>
        </w:rPr>
        <w:t>Despite the revenue decline, the segment delivered meaningful margin expansion, with gross margin improving year over year to 28.4% from 21.7%, an increase of 670 basis points. Gross profit grew 18% year over year to $65.7 million, reflecting disciplined operational execution and a favorable product mix.</w:t>
      </w:r>
    </w:p>
    <w:p>
      <w:pPr>
        <w:pStyle w:val="TextBody"/>
        <w:bidi w:val="0"/>
        <w:spacing w:before="0" w:after="60"/>
        <w:jc w:val="left"/>
        <w:rPr/>
      </w:pPr>
      <w:r>
        <w:rPr/>
        <w:t> </w:t>
      </w:r>
    </w:p>
    <w:p>
      <w:pPr>
        <w:pStyle w:val="TextBody"/>
        <w:bidi w:val="0"/>
        <w:spacing w:before="0" w:after="60"/>
        <w:jc w:val="left"/>
        <w:rPr>
          <w:rFonts w:ascii="Times New Roman" w:hAnsi="Times New Roman"/>
          <w:sz w:val="20"/>
        </w:rPr>
      </w:pPr>
      <w:r>
        <w:rPr>
          <w:rFonts w:ascii="Aptos;sans-serif" w:hAnsi="Aptos;sans-serif"/>
          <w:color w:val="000000"/>
          <w:sz w:val="22"/>
        </w:rPr>
        <w:t>Within the segment, memory revenue grew 6% year over year, supported by prior inventory investments, strong supply chain execution, and sequential market share gains in North America.</w:t>
      </w:r>
      <w:r>
        <w:rPr>
          <w:rFonts w:ascii="Times New Roman" w:hAnsi="Times New Roman"/>
          <w:color w:val="000000"/>
          <w:sz w:val="20"/>
        </w:rPr>
        <w:t xml:space="preserve"> </w:t>
      </w:r>
    </w:p>
    <w:p>
      <w:pPr>
        <w:pStyle w:val="TextBody"/>
        <w:bidi w:val="0"/>
        <w:jc w:val="left"/>
        <w:rPr/>
      </w:pPr>
      <w:r>
        <w:rPr/>
        <w:t> </w:t>
      </w:r>
    </w:p>
    <w:p>
      <w:pPr>
        <w:pStyle w:val="TextBody"/>
        <w:bidi w:val="0"/>
        <w:spacing w:before="60" w:after="60"/>
        <w:jc w:val="left"/>
        <w:rPr>
          <w:rFonts w:ascii="Aptos;sans-serif" w:hAnsi="Aptos;sans-serif"/>
          <w:color w:val="000000"/>
          <w:sz w:val="22"/>
        </w:rPr>
      </w:pPr>
      <w:r>
        <w:rPr>
          <w:rFonts w:ascii="Aptos;sans-serif" w:hAnsi="Aptos;sans-serif"/>
          <w:color w:val="000000"/>
          <w:sz w:val="22"/>
        </w:rPr>
        <w:t>Within the pre-build PC segment, we are seeing early demand begin to ramp for AI-focused workstations, particularly among prosumer and SMB customers requiring high-performance, locally run AI compute. This represents an estimated $22 billion global annual market opportunity that continues to grow and aligns directly with Corsair’s and ORIGIN PC’s strengths in custom, high-performance desktop solutions roadmap. We are encouraged by these early signals and believe this category will become an increasingly meaningful contributor as adoption continues to mature.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Management Commentary:</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 La, Chief Executive Officer of Corsair, stated, “We delivered a strong start to 2026, with record first quarter gross margin and adjusted EBITDA and EPS well above the high end of our guidance. The profit story this quarter reflects the quality of our business transformation, our continued shift toward higher-margin products, ecosystem growth with our Stream Deck technology expanding to more product lines, and the operational discipline our teams have demonstrated across both segments.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60"/>
        <w:jc w:val="left"/>
        <w:rPr>
          <w:rFonts w:ascii="sans-serif" w:hAnsi="sans-serif"/>
          <w:color w:val="000000"/>
          <w:sz w:val="22"/>
        </w:rPr>
      </w:pPr>
      <w:r>
        <w:rPr>
          <w:rFonts w:ascii="sans-serif" w:hAnsi="sans-serif"/>
          <w:color w:val="000000"/>
          <w:sz w:val="22"/>
        </w:rPr>
        <w:t>In Gamer and Creator Peripherals, we believe the flywheel is accelerating, as AI-assisted development is bringing a new generation of creators and builders into our Stream Deck ecosystem, expanding our platform reach in exciting ways that weren’t possible even two years ago. Wave Next is our most ambitious hardware-software integration to date, and we believe it sets the stage for the next chapter of Elgato’s audio platform growth.</w:t>
      </w:r>
    </w:p>
    <w:p>
      <w:pPr>
        <w:pStyle w:val="TextBody"/>
        <w:bidi w:val="0"/>
        <w:spacing w:before="0" w:after="60"/>
        <w:jc w:val="left"/>
        <w:rPr>
          <w:rFonts w:ascii="sans-serif" w:hAnsi="sans-serif"/>
          <w:color w:val="000000"/>
          <w:sz w:val="22"/>
        </w:rPr>
      </w:pPr>
      <w:r>
        <w:rPr>
          <w:rFonts w:ascii="sans-serif" w:hAnsi="sans-serif"/>
          <w:color w:val="000000"/>
          <w:sz w:val="22"/>
        </w:rPr>
        <w:t>In Gaming Components and Systems, we are navigating an industry-wide constrained supply environment with discipline. The significant margin expansion this quarter reflects that discipline. And while near-term demand headwinds in DIY components are real, we are encouraged by the early traction in our AI workstations and remain confident in the long-term trajectory of that segment.”</w:t>
      </w:r>
    </w:p>
    <w:p>
      <w:pPr>
        <w:pStyle w:val="TextBody"/>
        <w:bidi w:val="0"/>
        <w:spacing w:before="80" w:after="60"/>
        <w:jc w:val="left"/>
        <w:rPr>
          <w:rFonts w:ascii="sans-serif" w:hAnsi="sans-serif"/>
          <w:color w:val="000000"/>
          <w:sz w:val="22"/>
        </w:rPr>
      </w:pPr>
      <w:r>
        <w:rPr>
          <w:rFonts w:ascii="sans-serif" w:hAnsi="sans-serif"/>
          <w:color w:val="000000"/>
          <w:sz w:val="22"/>
        </w:rPr>
        <w:t>Gordon Mattingly, Chief Financial Officer of Corsair, stated, “Our first quarter results demonstrate the progress we have made in building a more profitable, more resilient business. We delivered a record first quarter gross margin of 32.7%, net income growth of $23.4 million, adjusted EBITDA significantly above expectations, and generated nearly $21 million in cash, enabling us to reduce net debt to near zero and return $5 million to shareholders through buybacks, all in the same quarter.</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Looking ahead, we remain focused on disciplined cost and working capital management, and we are well-positioned to deploy our increased financial flexibility efficiently across the business as the year progresses.”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and Full Year 2026 Financial Outlook:</w:t>
      </w:r>
    </w:p>
    <w:p>
      <w:pPr>
        <w:pStyle w:val="TextBody"/>
        <w:bidi w:val="0"/>
        <w:spacing w:before="240" w:after="283"/>
        <w:jc w:val="left"/>
        <w:rPr>
          <w:rFonts w:ascii="sans-serif" w:hAnsi="sans-serif"/>
          <w:color w:val="000000"/>
          <w:sz w:val="22"/>
        </w:rPr>
      </w:pPr>
      <w:r>
        <w:rPr>
          <w:rFonts w:ascii="sans-serif" w:hAnsi="sans-serif"/>
          <w:color w:val="000000"/>
          <w:sz w:val="22"/>
        </w:rPr>
        <w:t>For the second quarter of 2026, we expect:</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Net revenue to be in the range of $295 million to $320 million.</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Adjusted EBITDA to be in the range of $12.5 million to $15.5 million.</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Non-GAAP EPS to be in the range of 5 to 7 cents.</w:t>
      </w:r>
    </w:p>
    <w:p>
      <w:pPr>
        <w:pStyle w:val="TextBody"/>
        <w:bidi w:val="0"/>
        <w:spacing w:before="80" w:after="60"/>
        <w:jc w:val="left"/>
        <w:rPr>
          <w:rFonts w:ascii="sans-serif" w:hAnsi="sans-serif"/>
          <w:color w:val="000000"/>
          <w:sz w:val="22"/>
        </w:rPr>
      </w:pPr>
      <w:r>
        <w:rPr>
          <w:rFonts w:ascii="sans-serif" w:hAnsi="sans-serif"/>
          <w:color w:val="000000"/>
          <w:sz w:val="22"/>
        </w:rPr>
        <w:t>We expect revenue to be down by about 4% year-over-year at the assumed midpoint of our guided range, with expected low-teens year-over-year growth in our Gamer and Creator Peripherals segment, offset by a more cautious outlook for our Gaming Components and Systems segment, driven by the ongoing global semiconductor shortages. Adjusted EBITDA is expected to grow more than 70% year-over-year at the assumed midpoint of our guided range, as we continue to focus on margin expansion and operating expense management. The sequential decline in our revenue from Q1 reflects the normal seasonal pattern of our business.</w:t>
        <w:br/>
        <w:br/>
        <w:t>Our full-year guidance remains unchanged.</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Conference Call and Webcast Information</w:t>
      </w:r>
    </w:p>
    <w:p>
      <w:pPr>
        <w:pStyle w:val="TextBody"/>
        <w:bidi w:val="0"/>
        <w:jc w:val="left"/>
        <w:rPr>
          <w:rFonts w:ascii="sans-serif" w:hAnsi="sans-serif"/>
          <w:color w:val="000000"/>
          <w:sz w:val="22"/>
        </w:rPr>
      </w:pPr>
      <w:r>
        <w:rPr>
          <w:rFonts w:ascii="sans-serif" w:hAnsi="sans-serif"/>
          <w:color w:val="000000"/>
          <w:sz w:val="22"/>
        </w:rPr>
        <w:t>Corsair will host a conference call to discuss the first quarter of 2026 financial results today at 2:00 p.m. Pacific Time. The conference call will be accessible on Corsair’s Investor Relations website at https://ir.corsair.com, or by dialing 1-844-676-2245 (USA) or 1-412-634-6652 (International) with conference ID 10207948. A replay will be available approximately 3 hours after the live call ends on Corsair’s Investor Relations website, or through May 14, 2026 by dialing 1-844-512-2921 (USA) or 1-412-317-6671 (International), with passcode 10207948.</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About Corsair Gaming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color w:val="000000"/>
          <w:sz w:val="22"/>
        </w:rPr>
      </w:pPr>
      <w:r>
        <w:rPr>
          <w:rFonts w:ascii="sans-serif" w:hAnsi="sans-serif"/>
          <w:color w:val="000000"/>
          <w:sz w:val="22"/>
        </w:rPr>
        <w:t>Corsair (Nasdaq: CRSR) is a leading global developer and manufacturer of high-performance products and technology for gamers, content creators, and PC enthusiasts. From award-winning PC components and peripherals to premium streaming equipment and smart ambient lighting, Corsair delivers a full ecosystem of products that work together to enable everyone, from casual gamers to committed professionals, to perform at their very best. Corsair also sells products under its Fanatec brand, the leading end-to-end premium sim racing product line; Elgato brand, which provides premium studio equipment and accessories for content creators; SCUF Gaming brand, which builds custom-designed controllers for competitive gamers; Drop, the leading community-driven mechanical keyboard brand; and ORIGIN PC brand, a builder of custom gaming and workstation desktop PCs.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sans-serif" w:hAnsi="sans-serif"/>
          <w:color w:val="000000"/>
          <w:sz w:val="22"/>
        </w:rPr>
      </w:pPr>
      <w:r>
        <w:rPr>
          <w:rFonts w:ascii="sans-serif" w:hAnsi="sans-serif"/>
          <w:color w:val="000000"/>
          <w:sz w:val="22"/>
        </w:rPr>
        <w:t>This press release contains express and implied forward-looking statements within the meaning of the Private Securities Litigation Reform Act of 1995, including, but not limited to, statements regarding the Company’s financial outlook for the second quarter 2026 and the full year 2026; potential future growth in certain product categories; future headwinds and tailwinds that may impact the Company’s sales and results of operations including semiconductor supply constraints and demand for AI-focused workstations; and the potential growth and the long-term trajectory of our segments.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the Company’s limited operating history, which makes it difficult to forecast the Company’s future results of operations; current macroeconomic conditions, including the impacts of high inflation and risk of recession, on demand for our products, consumer confidence and financial markets generally; changes in trade regulations, policies, and agreements and the imposition of tariffs that affect our products or operations, including potential new tariffs that may be imposed on U.S. imports and our ability to mitigate; the Company’s ability to build and maintain the strength of the Company’s brand among gaming, streaming and content creator enthusiasts and ability to continuously develop and successfully market new products and improvements to existing products; the introduction and success of new third-party high-performance computer hardware, particularly graphics processing units and central processing units as well as sophisticated new video games; fluctuations in operating results; the loss or inability to attract and retain key management; the impacts from geopolitical events and unrest; delays or disruptions at the Company or third-parties’ manufacturing and distribution facilities; and the other factors described under the heading “Risk Factors” in our Annual Report on Form 10-K for the year ended December 31, 2025 filed with the Securities and Exchange Commission (“SEC”) and our subsequent filings with the SEC. All forward-looking statements reflect our beliefs and assumptions only as of the date of this press release. We undertake no obligation to update forward-looking statements to reflect future events or circumstances. Our results for the quarter ended March 31, 2026 are also not necessarily indicative of our operating results for any future periods.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Use and Reconciliation of Non-GAAP Financial Measures</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22"/>
        </w:rPr>
        <w:t>To supplement the financial results presented in accordance with GAAP, this earnings release presents certain non-GAAP financial information, including adjusted operating income (loss), adjusted net income (loss), adjusted net income (loss) per diluted share and adjusted EBITDA. These are important financial performance measures for us but are not financial measures as defined by GAAP. The presentation of this non-GAAP financial information is not intended to be considered in isolation of or as a substitute for, or superior to, the financial information prepared and presented in accordance with GAAP.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We use adjusted operating income (loss), adjusted net income (loss), adjusted net income (loss) per share and adjusted EBITDA to evaluate our operating performance and trends and make planning decisions. We believe that these non-GAAP financial measures help identify underlying trends in our business that could otherwise be masked by the effect of the expenses and other items that we exclude in such non-GAAP measures. Accordingly, we believe that these non-GAAP financial measures provide useful information to investors and others in understanding and evaluating our operating results, enhancing the overall understanding of our past performance and future prospects, and allowing for greater transparency with respect to the key financial metrics used by our management in our financial and operational decision-making. We also present these non-GAAP financial measures because we believe investors, analysts and rating agencies consider it useful in measuring our ability to meet our debt service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color w:val="000000"/>
          <w:sz w:val="22"/>
        </w:rPr>
      </w:pPr>
      <w:r>
        <w:rPr>
          <w:rFonts w:ascii="sans-serif" w:hAnsi="sans-serif"/>
          <w:color w:val="000000"/>
          <w:sz w:val="22"/>
        </w:rPr>
        <w:t>Our use of these terms may vary from that of others in our industry. These non-GAAP financial measures should not be considered as an alternative to net revenue, operating income (loss), net income (loss), cash provided by operating activities, or any other measures derived in accordance with GAAP as measures of operating performance or liquidity. Reconciliations of these measures to the most directly comparable GAAP financial measures are presented in the attached schedules.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We calculate these non-GAAP financial measures as follows: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operating income (loss), non-GAAP, is determined by adding back to GAAP operating income (loss), the impact from amortization, stock-based compensation, one-time costs related to legal and other matters, acquisition and related integration costs, restructuring and other charges, and acquisition accounting impact related to recognizing acquired inventory at fair value.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net income (loss), non-GAAP, excludes the impact from amortization, stock-based compensation, one-time costs related to legal and other matters, acquisition and related integration costs, restructuring and other charges, acquisition accounting impact related to recognizing acquired inventory at fair value and the bargain purchase gain on business acquisition, as well as the related tax effects of each of these adjustments.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net income (loss) per diluted share, non-GAAP, is determined by dividing adjusted net income (loss), non-GAAP by the respective weighted average shares outstanding, inclusive of the impact of other dilutive securities.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Adjusted EBITDA excludes the impact from amortization, stock-based compensation, one-time costs related to legal and other matters, acquisition and related integration costs, restructuring and other charges, acquisition accounting impact related to recognizing acquired inventory at fair value, and the bargain purchase gain on business acquisition, depreciation, interest expense, net, and tax expense (benefit).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jc w:val="left"/>
        <w:rPr/>
      </w:pPr>
      <w:r>
        <w:rPr/>
        <w:t> </w:t>
      </w:r>
    </w:p>
    <w:tbl>
      <w:tblPr>
        <w:tblW w:w="5957" w:type="dxa"/>
        <w:jc w:val="left"/>
        <w:tblInd w:w="0" w:type="dxa"/>
        <w:tblLayout w:type="fixed"/>
        <w:tblCellMar>
          <w:top w:w="28" w:type="dxa"/>
          <w:left w:w="28" w:type="dxa"/>
          <w:bottom w:w="28" w:type="dxa"/>
          <w:right w:w="28" w:type="dxa"/>
        </w:tblCellMar>
      </w:tblPr>
      <w:tblGrid>
        <w:gridCol w:w="3571"/>
        <w:gridCol w:w="2386"/>
      </w:tblGrid>
      <w:tr>
        <w:trPr/>
        <w:tc>
          <w:tcPr>
            <w:tcW w:w="357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jc w:val="left"/>
              <w:rPr>
                <w:rFonts w:ascii="sans-serif" w:hAnsi="sans-serif"/>
                <w:b/>
                <w:color w:val="000000"/>
                <w:sz w:val="22"/>
              </w:rPr>
            </w:pPr>
            <w:r>
              <w:rPr>
                <w:rFonts w:ascii="sans-serif" w:hAnsi="sans-serif"/>
                <w:b/>
                <w:color w:val="000000"/>
                <w:sz w:val="22"/>
              </w:rPr>
              <w:t>Investor Relations Contact:</w:t>
            </w:r>
          </w:p>
          <w:p>
            <w:pPr>
              <w:pStyle w:val="TableContents"/>
              <w:bidi w:val="0"/>
              <w:jc w:val="left"/>
              <w:rPr>
                <w:rFonts w:ascii="sans-serif" w:hAnsi="sans-serif"/>
                <w:color w:val="000000"/>
                <w:sz w:val="22"/>
              </w:rPr>
            </w:pPr>
            <w:r>
              <w:rPr>
                <w:rFonts w:ascii="sans-serif" w:hAnsi="sans-serif"/>
                <w:color w:val="000000"/>
                <w:sz w:val="22"/>
              </w:rPr>
              <w:t>David Pasquale</w:t>
            </w:r>
          </w:p>
          <w:p>
            <w:pPr>
              <w:pStyle w:val="TableContents"/>
              <w:bidi w:val="0"/>
              <w:jc w:val="left"/>
              <w:rPr>
                <w:rFonts w:ascii="sans-serif" w:hAnsi="sans-serif"/>
                <w:color w:val="000000"/>
                <w:sz w:val="22"/>
              </w:rPr>
            </w:pPr>
            <w:r>
              <w:rPr>
                <w:rFonts w:ascii="sans-serif" w:hAnsi="sans-serif"/>
                <w:color w:val="000000"/>
                <w:sz w:val="22"/>
              </w:rPr>
              <w:t>ir@corsair.com</w:t>
            </w:r>
          </w:p>
          <w:p>
            <w:pPr>
              <w:pStyle w:val="TableContents"/>
              <w:bidi w:val="0"/>
              <w:spacing w:before="0" w:after="283"/>
              <w:jc w:val="left"/>
              <w:rPr>
                <w:rFonts w:ascii="sans-serif" w:hAnsi="sans-serif"/>
                <w:color w:val="000000"/>
                <w:sz w:val="22"/>
              </w:rPr>
            </w:pPr>
            <w:r>
              <w:rPr>
                <w:rFonts w:ascii="sans-serif" w:hAnsi="sans-serif"/>
                <w:color w:val="000000"/>
                <w:sz w:val="22"/>
              </w:rPr>
              <w:t>914-337-8801</w:t>
            </w:r>
          </w:p>
        </w:tc>
        <w:tc>
          <w:tcPr>
            <w:tcW w:w="2386" w:type="dxa"/>
            <w:tcBorders/>
            <w:tcMar>
              <w:top w:w="0" w:type="dxa"/>
              <w:left w:w="0" w:type="dxa"/>
              <w:bottom w:w="0" w:type="dxa"/>
              <w:right w:w="0" w:type="dxa"/>
            </w:tcMar>
            <w:vAlign w:val="center"/>
          </w:tcPr>
          <w:p>
            <w:pPr>
              <w:pStyle w:val="TableContents"/>
              <w:bidi w:val="0"/>
              <w:jc w:val="left"/>
              <w:rPr>
                <w:rFonts w:ascii="sans-serif" w:hAnsi="sans-serif"/>
                <w:b/>
                <w:color w:val="000000"/>
                <w:sz w:val="22"/>
              </w:rPr>
            </w:pPr>
            <w:r>
              <w:rPr>
                <w:rFonts w:ascii="sans-serif" w:hAnsi="sans-serif"/>
                <w:b/>
                <w:color w:val="000000"/>
                <w:sz w:val="22"/>
              </w:rPr>
              <w:t>Media Contact:</w:t>
            </w:r>
          </w:p>
          <w:p>
            <w:pPr>
              <w:pStyle w:val="TableContents"/>
              <w:bidi w:val="0"/>
              <w:jc w:val="left"/>
              <w:rPr>
                <w:rFonts w:ascii="sans-serif" w:hAnsi="sans-serif"/>
                <w:color w:val="000000"/>
                <w:sz w:val="22"/>
              </w:rPr>
            </w:pPr>
            <w:r>
              <w:rPr>
                <w:rFonts w:ascii="sans-serif" w:hAnsi="sans-serif"/>
                <w:color w:val="000000"/>
                <w:sz w:val="22"/>
              </w:rPr>
              <w:t>media@corsair.com</w:t>
            </w:r>
          </w:p>
          <w:p>
            <w:pPr>
              <w:pStyle w:val="TableContents"/>
              <w:bidi w:val="0"/>
              <w:jc w:val="left"/>
              <w:rPr>
                <w:rFonts w:ascii="sans-serif" w:hAnsi="sans-serif"/>
                <w:color w:val="000000"/>
                <w:sz w:val="22"/>
              </w:rPr>
            </w:pPr>
            <w:r>
              <w:rPr>
                <w:rFonts w:ascii="sans-serif" w:hAnsi="sans-serif"/>
                <w:color w:val="000000"/>
                <w:sz w:val="22"/>
              </w:rPr>
              <w:t>510-657-8747</w:t>
            </w:r>
          </w:p>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color w:val="000000"/>
          <w:sz w:val="20"/>
        </w:rPr>
      </w:pPr>
      <w:r>
        <w:rPr>
          <w:rFonts w:ascii="sans-serif" w:hAnsi="sans-serif"/>
          <w:color w:val="000000"/>
          <w:sz w:val="20"/>
        </w:rPr>
        <w:t>(Unaudited,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17"/>
        <w:gridCol w:w="146"/>
        <w:gridCol w:w="226"/>
        <w:gridCol w:w="886"/>
        <w:gridCol w:w="181"/>
        <w:gridCol w:w="146"/>
        <w:gridCol w:w="226"/>
        <w:gridCol w:w="886"/>
        <w:gridCol w:w="391"/>
      </w:tblGrid>
      <w:tr>
        <w:trPr/>
        <w:tc>
          <w:tcPr>
            <w:tcW w:w="7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354,512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369,750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238,483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267,388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116,029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102,362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84,988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86,992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102,233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104,625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12,784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Calculation of net income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Change in redemption value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 attributable to common stockholders of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11,864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106,867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105,240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105,240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Segment Information</w:t>
      </w:r>
    </w:p>
    <w:p>
      <w:pPr>
        <w:pStyle w:val="TextBody"/>
        <w:bidi w:val="0"/>
        <w:jc w:val="center"/>
        <w:rPr>
          <w:rFonts w:ascii="sans-serif" w:hAnsi="sans-serif"/>
          <w:color w:val="000000"/>
          <w:sz w:val="20"/>
        </w:rPr>
      </w:pPr>
      <w:r>
        <w:rPr>
          <w:rFonts w:ascii="sans-serif" w:hAnsi="sans-serif"/>
          <w:color w:val="000000"/>
          <w:sz w:val="20"/>
        </w:rPr>
        <w:t>(Unaudited, in thousands, except percentages)</w:t>
      </w:r>
    </w:p>
    <w:p>
      <w:pPr>
        <w:pStyle w:val="TextBody"/>
        <w:bidi w:val="0"/>
        <w:jc w:val="center"/>
        <w:rPr/>
      </w:pPr>
      <w:r>
        <w:rPr/>
        <w:t> </w:t>
      </w:r>
    </w:p>
    <w:tbl>
      <w:tblPr>
        <w:tblW w:w="6729" w:type="dxa"/>
        <w:jc w:val="left"/>
        <w:tblInd w:w="0" w:type="dxa"/>
        <w:tblLayout w:type="fixed"/>
        <w:tblCellMar>
          <w:top w:w="28" w:type="dxa"/>
          <w:left w:w="28" w:type="dxa"/>
          <w:bottom w:w="28" w:type="dxa"/>
          <w:right w:w="28" w:type="dxa"/>
        </w:tblCellMar>
      </w:tblPr>
      <w:tblGrid>
        <w:gridCol w:w="3496"/>
        <w:gridCol w:w="146"/>
        <w:gridCol w:w="226"/>
        <w:gridCol w:w="886"/>
        <w:gridCol w:w="286"/>
        <w:gridCol w:w="146"/>
        <w:gridCol w:w="226"/>
        <w:gridCol w:w="886"/>
        <w:gridCol w:w="43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March 31,</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Gamer and Creator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123,310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111,973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Gaming Components and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231,202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257,777</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354,512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369,750</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Gamer and Creator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46,414</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Gaming Components and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65,739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55,948</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116,029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102,362</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Gamer and Creator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Gaming Components and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color w:val="000000"/>
          <w:sz w:val="20"/>
        </w:rPr>
      </w:pPr>
      <w:r>
        <w:rPr>
          <w:rFonts w:ascii="sans-serif" w:hAnsi="sans-serif"/>
          <w:color w:val="000000"/>
          <w:sz w:val="20"/>
        </w:rPr>
        <w:t>(Unaudited, in thousands)</w:t>
      </w:r>
    </w:p>
    <w:p>
      <w:pPr>
        <w:pStyle w:val="TextBody"/>
        <w:bidi w:val="0"/>
        <w:jc w:val="center"/>
        <w:rPr/>
      </w:pPr>
      <w:r>
        <w:rPr/>
        <w:t> </w:t>
      </w:r>
    </w:p>
    <w:tbl>
      <w:tblPr>
        <w:tblW w:w="9757" w:type="dxa"/>
        <w:jc w:val="left"/>
        <w:tblInd w:w="0" w:type="dxa"/>
        <w:tblLayout w:type="fixed"/>
        <w:tblCellMar>
          <w:top w:w="28" w:type="dxa"/>
          <w:left w:w="28" w:type="dxa"/>
          <w:bottom w:w="28" w:type="dxa"/>
          <w:right w:w="28" w:type="dxa"/>
        </w:tblCellMar>
      </w:tblPr>
      <w:tblGrid>
        <w:gridCol w:w="5851"/>
        <w:gridCol w:w="146"/>
        <w:gridCol w:w="226"/>
        <w:gridCol w:w="1066"/>
        <w:gridCol w:w="181"/>
        <w:gridCol w:w="146"/>
        <w:gridCol w:w="288"/>
        <w:gridCol w:w="1362"/>
        <w:gridCol w:w="49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119,497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178,375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233,900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273,466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303,336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29,639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599,359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665,458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31,514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357,399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357,765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115,269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125,210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73,897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73,587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1,177,340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1,253,784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Debt maturing within one year,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6,120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157,628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212,547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liabilities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180,348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212,275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344,097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430,942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113,691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115,222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53,766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516,531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608,030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Temporary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12,197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Common stock and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708,529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705,372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(59,366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(71,230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647,642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633,557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temporary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1,177,340</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1,253,784</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Cash Flows</w:t>
      </w:r>
    </w:p>
    <w:p>
      <w:pPr>
        <w:pStyle w:val="TextBody"/>
        <w:bidi w:val="0"/>
        <w:jc w:val="center"/>
        <w:rPr>
          <w:rFonts w:ascii="sans-serif" w:hAnsi="sans-serif"/>
          <w:color w:val="000000"/>
          <w:sz w:val="20"/>
        </w:rPr>
      </w:pPr>
      <w:r>
        <w:rPr>
          <w:rFonts w:ascii="sans-serif" w:hAnsi="sans-serif"/>
          <w:color w:val="000000"/>
          <w:sz w:val="20"/>
        </w:rPr>
        <w:t>(Unaudited,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82"/>
        <w:gridCol w:w="146"/>
        <w:gridCol w:w="226"/>
        <w:gridCol w:w="886"/>
        <w:gridCol w:w="181"/>
        <w:gridCol w:w="146"/>
        <w:gridCol w:w="226"/>
        <w:gridCol w:w="886"/>
        <w:gridCol w:w="426"/>
      </w:tblGrid>
      <w:tr>
        <w:trPr/>
        <w:tc>
          <w:tcPr>
            <w:tcW w:w="7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March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(10,317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Reversal of bargain purchase gain on business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taxes,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(22,237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(54,583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34,253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(12,470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29,728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18,750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(3,072</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Proceeds from issuance of shares through employee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Payment of 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Dividend paid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(304</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(22,254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(526</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(7,102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restricted cash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98,833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109,631</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restricted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119,748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102,529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GAAP to Non-GAAP Reconciliations</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Non-GAAP Operating Income (Loss) Reconciliations</w:t>
      </w:r>
    </w:p>
    <w:p>
      <w:pPr>
        <w:pStyle w:val="TextBody"/>
        <w:bidi w:val="0"/>
        <w:jc w:val="center"/>
        <w:rPr>
          <w:rFonts w:ascii="sans-serif" w:hAnsi="sans-serif"/>
          <w:color w:val="000000"/>
          <w:sz w:val="20"/>
        </w:rPr>
      </w:pPr>
      <w:r>
        <w:rPr>
          <w:rFonts w:ascii="sans-serif" w:hAnsi="sans-serif"/>
          <w:color w:val="000000"/>
          <w:sz w:val="20"/>
        </w:rPr>
        <w:t>(Unaudited, in thousands,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12"/>
        <w:gridCol w:w="146"/>
        <w:gridCol w:w="226"/>
        <w:gridCol w:w="766"/>
        <w:gridCol w:w="286"/>
        <w:gridCol w:w="146"/>
        <w:gridCol w:w="226"/>
        <w:gridCol w:w="766"/>
        <w:gridCol w:w="331"/>
      </w:tblGrid>
      <w:tr>
        <w:trPr/>
        <w:tc>
          <w:tcPr>
            <w:tcW w:w="7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Operating income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13,796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and related 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accounting impact related to recognizing acquired inventory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Adjusted Operating Income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31,876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20,636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As a % of net revenue -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r>
      <w:tr>
        <w:trPr/>
        <w:tc>
          <w:tcPr>
            <w:tcW w:w="7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As a % of net revenue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9.0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GAAP to Non-GAAP Reconciliations</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Non-GAAP Net Income (Loss) and Net Income (Loss) Per Share Reconciliations</w:t>
      </w:r>
    </w:p>
    <w:p>
      <w:pPr>
        <w:pStyle w:val="TextBody"/>
        <w:bidi w:val="0"/>
        <w:jc w:val="center"/>
        <w:rPr>
          <w:rFonts w:ascii="sans-serif" w:hAnsi="sans-serif"/>
          <w:color w:val="000000"/>
          <w:sz w:val="20"/>
        </w:rPr>
      </w:pPr>
      <w:r>
        <w:rPr>
          <w:rFonts w:ascii="sans-serif" w:hAnsi="sans-serif"/>
          <w:color w:val="000000"/>
          <w:sz w:val="20"/>
        </w:rPr>
        <w:t>(Unaudited,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82"/>
        <w:gridCol w:w="146"/>
        <w:gridCol w:w="226"/>
        <w:gridCol w:w="886"/>
        <w:gridCol w:w="181"/>
        <w:gridCol w:w="146"/>
        <w:gridCol w:w="226"/>
        <w:gridCol w:w="886"/>
        <w:gridCol w:w="426"/>
      </w:tblGrid>
      <w:tr>
        <w:trPr/>
        <w:tc>
          <w:tcPr>
            <w:tcW w:w="7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March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Net income (loss) attributable to common stockholders of Corsair Gaming, Inc.</w:t>
            </w:r>
            <w:r>
              <w:rPr>
                <w:rFonts w:ascii="Times New Roman" w:hAnsi="Times New Roman"/>
                <w:color w:val="000000"/>
                <w:sz w:val="20"/>
              </w:rPr>
              <w: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(10,067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Change in redemption value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attributable to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(10,459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 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income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(10,317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Restructuring and other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Acquisition and related integration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Reversal of bargain purchase gain on business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Acquisition accounting impact related to recognizing acquired inventory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Non-GAAP income tax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(2,844</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20"/>
              </w:rPr>
            </w:pPr>
            <w:r>
              <w:rPr>
                <w:rFonts w:ascii="sans-serif" w:hAnsi="sans-serif"/>
                <w:b/>
                <w:color w:val="000000"/>
                <w:sz w:val="20"/>
              </w:rPr>
              <w:t>Adjusted net income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12,319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105,240</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107,367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 Numerator for calculating net income (loss) per share-GAAP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GAAP to Non-GAAP Reconciliations</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Adjusted EBITDA Reconciliations</w:t>
      </w:r>
    </w:p>
    <w:p>
      <w:pPr>
        <w:pStyle w:val="TextBody"/>
        <w:bidi w:val="0"/>
        <w:jc w:val="center"/>
        <w:rPr>
          <w:rFonts w:ascii="sans-serif" w:hAnsi="sans-serif"/>
          <w:color w:val="000000"/>
          <w:sz w:val="20"/>
        </w:rPr>
      </w:pPr>
      <w:r>
        <w:rPr>
          <w:rFonts w:ascii="sans-serif" w:hAnsi="sans-serif"/>
          <w:color w:val="000000"/>
          <w:sz w:val="20"/>
        </w:rPr>
        <w:t>(Unaudited, in thousands,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37"/>
        <w:gridCol w:w="146"/>
        <w:gridCol w:w="226"/>
        <w:gridCol w:w="766"/>
        <w:gridCol w:w="286"/>
        <w:gridCol w:w="146"/>
        <w:gridCol w:w="226"/>
        <w:gridCol w:w="841"/>
        <w:gridCol w:w="331"/>
      </w:tblGrid>
      <w:tr>
        <w:trPr/>
        <w:tc>
          <w:tcPr>
            <w:tcW w:w="7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income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13,057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and related 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Reversal of bargain purchase gain on business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accounting impact related to recognizing acquired inventory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 net of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Adjusted EBITDA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22,643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Adjusted EBITDA margin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10.1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crsr-ex99_2.htm"/>
      <w:bookmarkStart w:id="5" w:name="kscrsr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4171</Words>
  <Characters>24162</Characters>
  <CharactersWithSpaces>28726</CharactersWithSpaces>
  <Paragraphs>1766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