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660" w:right="1620" w:hanging="3652"/>
        <w:spacing w:after="0" w:line="391" w:lineRule="auto"/>
        <w:tabs>
          <w:tab w:leader="none" w:pos="47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-409575</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78" w:lineRule="exact"/>
        <w:rPr>
          <w:sz w:val="24"/>
          <w:szCs w:val="24"/>
          <w:color w:val="auto"/>
        </w:rPr>
      </w:pPr>
    </w:p>
    <w:p>
      <w:pPr>
        <w:ind w:left="3500" w:right="1620" w:hanging="3492"/>
        <w:spacing w:after="0" w:line="375" w:lineRule="auto"/>
        <w:tabs>
          <w:tab w:leader="none" w:pos="458"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 to _________</w:t>
      </w:r>
    </w:p>
    <w:p>
      <w:pPr>
        <w:spacing w:after="0" w:line="1" w:lineRule="exact"/>
        <w:rPr>
          <w:rFonts w:ascii="MS PGothic" w:cs="MS PGothic" w:eastAsia="MS PGothic" w:hAnsi="MS PGothic"/>
          <w:sz w:val="18"/>
          <w:szCs w:val="18"/>
          <w:color w:val="auto"/>
        </w:rPr>
      </w:pPr>
    </w:p>
    <w:p>
      <w:pPr>
        <w:ind w:left="42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001-39533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-515620</wp:posOffset>
            </wp:positionV>
            <wp:extent cx="86995" cy="882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533"/>
        </w:trPr>
        <w:tc>
          <w:tcPr>
            <w:tcW w:w="3620" w:type="dxa"/>
            <w:vAlign w:val="bottom"/>
          </w:tcPr>
          <w:p>
            <w:pPr>
              <w:spacing w:after="0"/>
              <w:rPr>
                <w:sz w:val="24"/>
                <w:szCs w:val="24"/>
                <w:color w:val="auto"/>
              </w:rPr>
            </w:pPr>
          </w:p>
        </w:tc>
        <w:tc>
          <w:tcPr>
            <w:tcW w:w="4140" w:type="dxa"/>
            <w:vAlign w:val="bottom"/>
            <w:gridSpan w:val="7"/>
          </w:tcPr>
          <w:p>
            <w:pPr>
              <w:jc w:val="center"/>
              <w:ind w:right="120"/>
              <w:spacing w:after="0"/>
              <w:rPr>
                <w:sz w:val="20"/>
                <w:szCs w:val="20"/>
                <w:color w:val="auto"/>
              </w:rPr>
            </w:pPr>
            <w:r>
              <w:rPr>
                <w:rFonts w:ascii="Arial" w:cs="Arial" w:eastAsia="Arial" w:hAnsi="Arial"/>
                <w:sz w:val="43"/>
                <w:szCs w:val="43"/>
                <w:b w:val="1"/>
                <w:bCs w:val="1"/>
                <w:color w:val="auto"/>
                <w:w w:val="93"/>
              </w:rPr>
              <w:t>Corsair Gaming, Inc.</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620" w:type="dxa"/>
            <w:vAlign w:val="bottom"/>
          </w:tcPr>
          <w:p>
            <w:pPr>
              <w:spacing w:after="0"/>
              <w:rPr>
                <w:sz w:val="17"/>
                <w:szCs w:val="17"/>
                <w:color w:val="auto"/>
              </w:rPr>
            </w:pPr>
          </w:p>
        </w:tc>
        <w:tc>
          <w:tcPr>
            <w:tcW w:w="4140" w:type="dxa"/>
            <w:vAlign w:val="bottom"/>
            <w:gridSpan w:val="7"/>
          </w:tcPr>
          <w:p>
            <w:pPr>
              <w:jc w:val="center"/>
              <w:ind w:right="120"/>
              <w:spacing w:after="0"/>
              <w:rPr>
                <w:sz w:val="20"/>
                <w:szCs w:val="20"/>
                <w:color w:val="auto"/>
              </w:rPr>
            </w:pPr>
            <w:r>
              <w:rPr>
                <w:rFonts w:ascii="Arial" w:cs="Arial" w:eastAsia="Arial" w:hAnsi="Arial"/>
                <w:sz w:val="16"/>
                <w:szCs w:val="16"/>
                <w:color w:val="auto"/>
                <w:w w:val="92"/>
              </w:rPr>
              <w:t>(Exact Name of Registrant as Specified in its Charter)</w:t>
            </w:r>
          </w:p>
        </w:tc>
        <w:tc>
          <w:tcPr>
            <w:tcW w:w="3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3620" w:type="dxa"/>
            <w:vAlign w:val="bottom"/>
            <w:vMerge w:val="restart"/>
          </w:tcPr>
          <w:p>
            <w:pPr>
              <w:jc w:val="center"/>
              <w:ind w:left="1942"/>
              <w:spacing w:after="0"/>
              <w:rPr>
                <w:sz w:val="20"/>
                <w:szCs w:val="20"/>
                <w:color w:val="auto"/>
              </w:rPr>
            </w:pPr>
            <w:r>
              <w:rPr>
                <w:rFonts w:ascii="Arial" w:cs="Arial" w:eastAsia="Arial" w:hAnsi="Arial"/>
                <w:sz w:val="18"/>
                <w:szCs w:val="18"/>
                <w:b w:val="1"/>
                <w:bCs w:val="1"/>
                <w:color w:val="auto"/>
                <w:w w:val="91"/>
              </w:rPr>
              <w:t>Delaware</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4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80" w:type="dxa"/>
            <w:vAlign w:val="bottom"/>
            <w:vMerge w:val="restart"/>
          </w:tcPr>
          <w:p>
            <w:pPr>
              <w:jc w:val="center"/>
              <w:ind w:right="2064"/>
              <w:spacing w:after="0"/>
              <w:rPr>
                <w:sz w:val="20"/>
                <w:szCs w:val="20"/>
                <w:color w:val="auto"/>
              </w:rPr>
            </w:pPr>
            <w:r>
              <w:rPr>
                <w:rFonts w:ascii="Arial" w:cs="Arial" w:eastAsia="Arial" w:hAnsi="Arial"/>
                <w:sz w:val="18"/>
                <w:szCs w:val="18"/>
                <w:b w:val="1"/>
                <w:bCs w:val="1"/>
                <w:color w:val="auto"/>
                <w:w w:val="89"/>
              </w:rPr>
              <w:t>82-2335306</w:t>
            </w:r>
          </w:p>
        </w:tc>
        <w:tc>
          <w:tcPr>
            <w:tcW w:w="0" w:type="dxa"/>
            <w:vAlign w:val="bottom"/>
          </w:tcPr>
          <w:p>
            <w:pPr>
              <w:spacing w:after="0"/>
              <w:rPr>
                <w:sz w:val="1"/>
                <w:szCs w:val="1"/>
                <w:color w:val="auto"/>
              </w:rPr>
            </w:pPr>
          </w:p>
        </w:tc>
      </w:tr>
      <w:tr>
        <w:trPr>
          <w:trHeight w:val="317"/>
        </w:trPr>
        <w:tc>
          <w:tcPr>
            <w:tcW w:w="36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620" w:type="dxa"/>
            <w:vAlign w:val="bottom"/>
          </w:tcPr>
          <w:p>
            <w:pPr>
              <w:jc w:val="center"/>
              <w:ind w:left="1922"/>
              <w:spacing w:after="0" w:line="135" w:lineRule="exact"/>
              <w:rPr>
                <w:sz w:val="20"/>
                <w:szCs w:val="20"/>
                <w:color w:val="auto"/>
              </w:rPr>
            </w:pPr>
            <w:r>
              <w:rPr>
                <w:rFonts w:ascii="Arial" w:cs="Arial" w:eastAsia="Arial" w:hAnsi="Arial"/>
                <w:sz w:val="13"/>
                <w:szCs w:val="13"/>
                <w:color w:val="auto"/>
                <w:w w:val="89"/>
              </w:rPr>
              <w:t>(State or other jurisdiction of</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80" w:type="dxa"/>
            <w:vAlign w:val="bottom"/>
          </w:tcPr>
          <w:p>
            <w:pPr>
              <w:jc w:val="center"/>
              <w:ind w:right="2064"/>
              <w:spacing w:after="0" w:line="135" w:lineRule="exact"/>
              <w:rPr>
                <w:sz w:val="20"/>
                <w:szCs w:val="20"/>
                <w:color w:val="auto"/>
              </w:rPr>
            </w:pPr>
            <w:r>
              <w:rPr>
                <w:rFonts w:ascii="Arial" w:cs="Arial" w:eastAsia="Arial" w:hAnsi="Arial"/>
                <w:sz w:val="13"/>
                <w:szCs w:val="13"/>
                <w:color w:val="auto"/>
                <w:w w:val="90"/>
              </w:rPr>
              <w:t>(I.R.S. Employer</w:t>
            </w:r>
          </w:p>
        </w:tc>
        <w:tc>
          <w:tcPr>
            <w:tcW w:w="0" w:type="dxa"/>
            <w:vAlign w:val="bottom"/>
          </w:tcPr>
          <w:p>
            <w:pPr>
              <w:spacing w:after="0"/>
              <w:rPr>
                <w:sz w:val="1"/>
                <w:szCs w:val="1"/>
                <w:color w:val="auto"/>
              </w:rPr>
            </w:pPr>
          </w:p>
        </w:tc>
      </w:tr>
      <w:tr>
        <w:trPr>
          <w:trHeight w:val="160"/>
        </w:trPr>
        <w:tc>
          <w:tcPr>
            <w:tcW w:w="3620" w:type="dxa"/>
            <w:vAlign w:val="bottom"/>
          </w:tcPr>
          <w:p>
            <w:pPr>
              <w:jc w:val="center"/>
              <w:ind w:left="1942"/>
              <w:spacing w:after="0"/>
              <w:rPr>
                <w:sz w:val="20"/>
                <w:szCs w:val="20"/>
                <w:color w:val="auto"/>
              </w:rPr>
            </w:pPr>
            <w:r>
              <w:rPr>
                <w:rFonts w:ascii="Arial" w:cs="Arial" w:eastAsia="Arial" w:hAnsi="Arial"/>
                <w:sz w:val="13"/>
                <w:szCs w:val="13"/>
                <w:color w:val="auto"/>
                <w:w w:val="89"/>
              </w:rPr>
              <w:t>incorporation or organization)</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80" w:type="dxa"/>
            <w:vAlign w:val="bottom"/>
          </w:tcPr>
          <w:p>
            <w:pPr>
              <w:jc w:val="center"/>
              <w:ind w:right="2064"/>
              <w:spacing w:after="0"/>
              <w:rPr>
                <w:sz w:val="20"/>
                <w:szCs w:val="20"/>
                <w:color w:val="auto"/>
              </w:rPr>
            </w:pPr>
            <w:r>
              <w:rPr>
                <w:rFonts w:ascii="Arial" w:cs="Arial" w:eastAsia="Arial" w:hAnsi="Arial"/>
                <w:sz w:val="13"/>
                <w:szCs w:val="13"/>
                <w:color w:val="auto"/>
                <w:w w:val="92"/>
              </w:rPr>
              <w:t>Identification No.)</w:t>
            </w:r>
          </w:p>
        </w:tc>
        <w:tc>
          <w:tcPr>
            <w:tcW w:w="0" w:type="dxa"/>
            <w:vAlign w:val="bottom"/>
          </w:tcPr>
          <w:p>
            <w:pPr>
              <w:spacing w:after="0"/>
              <w:rPr>
                <w:sz w:val="1"/>
                <w:szCs w:val="1"/>
                <w:color w:val="auto"/>
              </w:rPr>
            </w:pPr>
          </w:p>
        </w:tc>
      </w:tr>
      <w:tr>
        <w:trPr>
          <w:trHeight w:val="308"/>
        </w:trPr>
        <w:tc>
          <w:tcPr>
            <w:tcW w:w="3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60" w:type="dxa"/>
            <w:vAlign w:val="bottom"/>
            <w:gridSpan w:val="4"/>
          </w:tcPr>
          <w:p>
            <w:pPr>
              <w:jc w:val="center"/>
              <w:ind w:right="1020"/>
              <w:spacing w:after="0"/>
              <w:rPr>
                <w:sz w:val="20"/>
                <w:szCs w:val="20"/>
                <w:color w:val="auto"/>
              </w:rPr>
            </w:pPr>
            <w:r>
              <w:rPr>
                <w:rFonts w:ascii="Arial" w:cs="Arial" w:eastAsia="Arial" w:hAnsi="Arial"/>
                <w:sz w:val="18"/>
                <w:szCs w:val="18"/>
                <w:b w:val="1"/>
                <w:bCs w:val="1"/>
                <w:color w:val="auto"/>
                <w:w w:val="89"/>
              </w:rPr>
              <w:t>47100 Bayside Pkwy</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60" w:type="dxa"/>
            <w:vAlign w:val="bottom"/>
            <w:gridSpan w:val="4"/>
          </w:tcPr>
          <w:p>
            <w:pPr>
              <w:jc w:val="center"/>
              <w:ind w:right="1020"/>
              <w:spacing w:after="0"/>
              <w:rPr>
                <w:sz w:val="20"/>
                <w:szCs w:val="20"/>
                <w:color w:val="auto"/>
              </w:rPr>
            </w:pPr>
            <w:r>
              <w:rPr>
                <w:rFonts w:ascii="Arial" w:cs="Arial" w:eastAsia="Arial" w:hAnsi="Arial"/>
                <w:sz w:val="18"/>
                <w:szCs w:val="18"/>
                <w:b w:val="1"/>
                <w:bCs w:val="1"/>
                <w:color w:val="auto"/>
                <w:w w:val="93"/>
              </w:rPr>
              <w:t>Fremont, CA 94538</w:t>
            </w:r>
          </w:p>
        </w:tc>
        <w:tc>
          <w:tcPr>
            <w:tcW w:w="3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3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80" w:type="dxa"/>
            <w:vAlign w:val="bottom"/>
            <w:gridSpan w:val="5"/>
          </w:tcPr>
          <w:p>
            <w:pPr>
              <w:jc w:val="center"/>
              <w:ind w:right="580"/>
              <w:spacing w:after="0"/>
              <w:rPr>
                <w:sz w:val="20"/>
                <w:szCs w:val="20"/>
                <w:color w:val="auto"/>
              </w:rPr>
            </w:pPr>
            <w:r>
              <w:rPr>
                <w:rFonts w:ascii="Arial" w:cs="Arial" w:eastAsia="Arial" w:hAnsi="Arial"/>
                <w:sz w:val="13"/>
                <w:szCs w:val="13"/>
                <w:color w:val="auto"/>
                <w:w w:val="88"/>
              </w:rPr>
              <w:t>(Address of principal executive offices and zip code)</w:t>
            </w:r>
          </w:p>
        </w:tc>
        <w:tc>
          <w:tcPr>
            <w:tcW w:w="3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3620" w:type="dxa"/>
            <w:vAlign w:val="bottom"/>
          </w:tcPr>
          <w:p>
            <w:pPr>
              <w:spacing w:after="0"/>
              <w:rPr>
                <w:sz w:val="24"/>
                <w:szCs w:val="24"/>
                <w:color w:val="auto"/>
              </w:rPr>
            </w:pPr>
          </w:p>
        </w:tc>
        <w:tc>
          <w:tcPr>
            <w:tcW w:w="3120" w:type="dxa"/>
            <w:vAlign w:val="bottom"/>
            <w:gridSpan w:val="4"/>
          </w:tcPr>
          <w:p>
            <w:pPr>
              <w:jc w:val="center"/>
              <w:ind w:left="751"/>
              <w:spacing w:after="0"/>
              <w:rPr>
                <w:sz w:val="20"/>
                <w:szCs w:val="20"/>
                <w:color w:val="auto"/>
              </w:rPr>
            </w:pPr>
            <w:r>
              <w:rPr>
                <w:rFonts w:ascii="Arial" w:cs="Arial" w:eastAsia="Arial" w:hAnsi="Arial"/>
                <w:sz w:val="18"/>
                <w:szCs w:val="18"/>
                <w:b w:val="1"/>
                <w:bCs w:val="1"/>
                <w:color w:val="auto"/>
                <w:w w:val="90"/>
              </w:rPr>
              <w:t>(510) 657-8747</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3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80" w:type="dxa"/>
            <w:vAlign w:val="bottom"/>
            <w:gridSpan w:val="5"/>
          </w:tcPr>
          <w:p>
            <w:pPr>
              <w:jc w:val="center"/>
              <w:ind w:right="580"/>
              <w:spacing w:after="0"/>
              <w:rPr>
                <w:sz w:val="20"/>
                <w:szCs w:val="20"/>
                <w:color w:val="auto"/>
              </w:rPr>
            </w:pPr>
            <w:r>
              <w:rPr>
                <w:rFonts w:ascii="Arial" w:cs="Arial" w:eastAsia="Arial" w:hAnsi="Arial"/>
                <w:sz w:val="13"/>
                <w:szCs w:val="13"/>
                <w:color w:val="auto"/>
                <w:w w:val="87"/>
              </w:rPr>
              <w:t>(Registrant’s telephone number, including area code)</w:t>
            </w:r>
          </w:p>
        </w:tc>
        <w:tc>
          <w:tcPr>
            <w:tcW w:w="3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394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6740" w:type="dxa"/>
            <w:vAlign w:val="bottom"/>
            <w:gridSpan w:val="5"/>
          </w:tcPr>
          <w:p>
            <w:pPr>
              <w:ind w:left="520"/>
              <w:spacing w:after="0"/>
              <w:rPr>
                <w:sz w:val="20"/>
                <w:szCs w:val="20"/>
                <w:color w:val="auto"/>
              </w:rPr>
            </w:pPr>
            <w:r>
              <w:rPr>
                <w:rFonts w:ascii="Arial" w:cs="Arial" w:eastAsia="Arial" w:hAnsi="Arial"/>
                <w:sz w:val="18"/>
                <w:szCs w:val="18"/>
                <w:color w:val="auto"/>
              </w:rPr>
              <w:t>Securities registered pursuant to Section 12(b) of the Act: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620" w:type="dxa"/>
            <w:vAlign w:val="bottom"/>
          </w:tcPr>
          <w:p>
            <w:pPr>
              <w:jc w:val="center"/>
              <w:ind w:left="262"/>
              <w:spacing w:after="0"/>
              <w:rPr>
                <w:sz w:val="20"/>
                <w:szCs w:val="20"/>
                <w:color w:val="auto"/>
              </w:rPr>
            </w:pPr>
            <w:r>
              <w:rPr>
                <w:rFonts w:ascii="Arial" w:cs="Arial" w:eastAsia="Arial" w:hAnsi="Arial"/>
                <w:sz w:val="14"/>
                <w:szCs w:val="14"/>
                <w:b w:val="1"/>
                <w:bCs w:val="1"/>
                <w:color w:val="auto"/>
                <w:w w:val="89"/>
              </w:rPr>
              <w:t>Title of each class</w:t>
            </w: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260" w:type="dxa"/>
            <w:vAlign w:val="bottom"/>
            <w:gridSpan w:val="4"/>
          </w:tcPr>
          <w:p>
            <w:pPr>
              <w:jc w:val="center"/>
              <w:ind w:right="1000"/>
              <w:spacing w:after="0"/>
              <w:rPr>
                <w:sz w:val="20"/>
                <w:szCs w:val="20"/>
                <w:color w:val="auto"/>
              </w:rPr>
            </w:pPr>
            <w:r>
              <w:rPr>
                <w:rFonts w:ascii="Arial" w:cs="Arial" w:eastAsia="Arial" w:hAnsi="Arial"/>
                <w:sz w:val="14"/>
                <w:szCs w:val="14"/>
                <w:b w:val="1"/>
                <w:bCs w:val="1"/>
                <w:color w:val="auto"/>
                <w:w w:val="92"/>
              </w:rPr>
              <w:t>Trading Symbol(s)</w:t>
            </w:r>
          </w:p>
        </w:tc>
        <w:tc>
          <w:tcPr>
            <w:tcW w:w="3480" w:type="dxa"/>
            <w:vAlign w:val="bottom"/>
          </w:tcPr>
          <w:p>
            <w:pPr>
              <w:jc w:val="center"/>
              <w:ind w:right="364"/>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224"/>
        </w:trPr>
        <w:tc>
          <w:tcPr>
            <w:tcW w:w="3620" w:type="dxa"/>
            <w:vAlign w:val="bottom"/>
            <w:tcBorders>
              <w:top w:val="single" w:sz="8" w:color="auto"/>
            </w:tcBorders>
          </w:tcPr>
          <w:p>
            <w:pPr>
              <w:jc w:val="center"/>
              <w:ind w:left="262"/>
              <w:spacing w:after="0"/>
              <w:rPr>
                <w:sz w:val="20"/>
                <w:szCs w:val="20"/>
                <w:color w:val="auto"/>
              </w:rPr>
            </w:pPr>
            <w:r>
              <w:rPr>
                <w:rFonts w:ascii="Arial" w:cs="Arial" w:eastAsia="Arial" w:hAnsi="Arial"/>
                <w:sz w:val="18"/>
                <w:szCs w:val="18"/>
                <w:color w:val="auto"/>
                <w:w w:val="89"/>
              </w:rPr>
              <w:t>Common Stock, $0.0001 par value per share</w:t>
            </w:r>
          </w:p>
        </w:tc>
        <w:tc>
          <w:tcPr>
            <w:tcW w:w="3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700" w:type="dxa"/>
            <w:vAlign w:val="bottom"/>
            <w:tcBorders>
              <w:top w:val="single" w:sz="8" w:color="auto"/>
            </w:tcBorders>
            <w:gridSpan w:val="2"/>
          </w:tcPr>
          <w:p>
            <w:pPr>
              <w:jc w:val="center"/>
              <w:ind w:right="440"/>
              <w:spacing w:after="0"/>
              <w:rPr>
                <w:sz w:val="20"/>
                <w:szCs w:val="20"/>
                <w:color w:val="auto"/>
              </w:rPr>
            </w:pPr>
            <w:r>
              <w:rPr>
                <w:rFonts w:ascii="Arial" w:cs="Arial" w:eastAsia="Arial" w:hAnsi="Arial"/>
                <w:sz w:val="18"/>
                <w:szCs w:val="18"/>
                <w:color w:val="auto"/>
                <w:w w:val="90"/>
              </w:rPr>
              <w:t>CRSR</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3480" w:type="dxa"/>
            <w:vAlign w:val="bottom"/>
            <w:tcBorders>
              <w:top w:val="single" w:sz="8" w:color="auto"/>
            </w:tcBorders>
          </w:tcPr>
          <w:p>
            <w:pPr>
              <w:jc w:val="center"/>
              <w:ind w:right="364"/>
              <w:spacing w:after="0"/>
              <w:rPr>
                <w:sz w:val="20"/>
                <w:szCs w:val="20"/>
                <w:color w:val="auto"/>
              </w:rPr>
            </w:pPr>
            <w:r>
              <w:rPr>
                <w:rFonts w:ascii="Arial" w:cs="Arial" w:eastAsia="Arial" w:hAnsi="Arial"/>
                <w:sz w:val="18"/>
                <w:szCs w:val="18"/>
                <w:color w:val="auto"/>
                <w:w w:val="90"/>
              </w:rPr>
              <w:t>The Nasdaq Global Select Market</w:t>
            </w:r>
          </w:p>
        </w:tc>
        <w:tc>
          <w:tcPr>
            <w:tcW w:w="0" w:type="dxa"/>
            <w:vAlign w:val="bottom"/>
          </w:tcPr>
          <w:p>
            <w:pPr>
              <w:spacing w:after="0"/>
              <w:rPr>
                <w:sz w:val="1"/>
                <w:szCs w:val="1"/>
                <w:color w:val="auto"/>
              </w:rPr>
            </w:pPr>
          </w:p>
        </w:tc>
      </w:tr>
    </w:tbl>
    <w:p>
      <w:pPr>
        <w:spacing w:after="0" w:line="93" w:lineRule="exact"/>
        <w:rPr>
          <w:sz w:val="24"/>
          <w:szCs w:val="24"/>
          <w:color w:val="auto"/>
        </w:rPr>
      </w:pPr>
    </w:p>
    <w:p>
      <w:pPr>
        <w:ind w:right="6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4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40" w:firstLine="51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980"/>
              <w:spacing w:after="0"/>
              <w:rPr>
                <w:sz w:val="20"/>
                <w:szCs w:val="20"/>
                <w:color w:val="auto"/>
              </w:rPr>
            </w:pPr>
            <w:r>
              <w:rPr>
                <w:rFonts w:ascii="Arial" w:cs="Arial" w:eastAsia="Arial" w:hAnsi="Arial"/>
                <w:sz w:val="18"/>
                <w:szCs w:val="18"/>
                <w:color w:val="auto"/>
              </w:rPr>
              <w:t>Accelerated filer</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3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980"/>
              <w:spacing w:after="0"/>
              <w:rPr>
                <w:sz w:val="20"/>
                <w:szCs w:val="20"/>
                <w:color w:val="auto"/>
              </w:rPr>
            </w:pPr>
            <w:r>
              <w:rPr>
                <w:rFonts w:ascii="Arial" w:cs="Arial" w:eastAsia="Arial" w:hAnsi="Arial"/>
                <w:sz w:val="18"/>
                <w:szCs w:val="18"/>
                <w:color w:val="auto"/>
                <w:w w:val="99"/>
              </w:rPr>
              <w:t>Smaller reporting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7"/>
        </w:trPr>
        <w:tc>
          <w:tcPr>
            <w:tcW w:w="22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87" w:lineRule="exact"/>
        <w:rPr>
          <w:sz w:val="24"/>
          <w:szCs w:val="24"/>
          <w:color w:val="auto"/>
        </w:rPr>
      </w:pPr>
    </w:p>
    <w:p>
      <w:pPr>
        <w:ind w:firstLine="51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520" w:right="1160"/>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November 3, 2020, the registrant had 91,924,189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608965</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5"/>
            <w:vMerge w:val="restart"/>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INFORMATION</w:t>
              </w:r>
            </w:hyperlink>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2"/>
        </w:trPr>
        <w:tc>
          <w:tcPr>
            <w:tcW w:w="1160" w:type="dxa"/>
            <w:vAlign w:val="bottom"/>
            <w:vMerge w:val="continue"/>
          </w:tcPr>
          <w:p>
            <w:pPr>
              <w:spacing w:after="0"/>
              <w:rPr>
                <w:sz w:val="19"/>
                <w:szCs w:val="19"/>
                <w:color w:val="auto"/>
              </w:rPr>
            </w:pPr>
          </w:p>
        </w:tc>
        <w:tc>
          <w:tcPr>
            <w:tcW w:w="9300" w:type="dxa"/>
            <w:vAlign w:val="bottom"/>
            <w:gridSpan w:val="5"/>
            <w:vMerge w:val="continue"/>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5"/>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 (Unaudited)</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9300" w:type="dxa"/>
            <w:vAlign w:val="bottom"/>
            <w:gridSpan w:val="5"/>
          </w:tcPr>
          <w:p>
            <w:pPr>
              <w:spacing w:after="0"/>
              <w:rPr>
                <w:rFonts w:ascii="Arial" w:cs="Arial" w:eastAsia="Arial" w:hAnsi="Arial"/>
                <w:sz w:val="18"/>
                <w:szCs w:val="18"/>
                <w:u w:val="single" w:color="auto"/>
                <w:color w:val="0000EE"/>
                <w:w w:val="92"/>
              </w:rPr>
            </w:pPr>
            <w:hyperlink w:anchor="page4">
              <w:r>
                <w:rPr>
                  <w:rFonts w:ascii="Arial" w:cs="Arial" w:eastAsia="Arial" w:hAnsi="Arial"/>
                  <w:sz w:val="18"/>
                  <w:szCs w:val="18"/>
                  <w:u w:val="single" w:color="auto"/>
                  <w:color w:val="0000EE"/>
                  <w:w w:val="92"/>
                </w:rPr>
                <w:t>Condensed Combined Consolidated Statements of Operations - Three and Nine Months Ended September 30, 2020 and 2019</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9060" w:type="dxa"/>
            <w:vAlign w:val="bottom"/>
            <w:tcBorders>
              <w:bottom w:val="single" w:sz="8" w:color="0000EE"/>
            </w:tcBorders>
            <w:gridSpan w:val="4"/>
          </w:tcPr>
          <w:p>
            <w:pPr>
              <w:spacing w:after="0" w:line="190"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Combined Consolidated Statements of Comprehensive Income (Loss) - Three and Nine Months Ended September</w:t>
              </w:r>
            </w:hyperlink>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34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30, 2020 and 2019</w:t>
              </w:r>
            </w:hyperlink>
          </w:p>
        </w:tc>
        <w:tc>
          <w:tcPr>
            <w:tcW w:w="796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9"/>
        </w:trPr>
        <w:tc>
          <w:tcPr>
            <w:tcW w:w="1160" w:type="dxa"/>
            <w:vAlign w:val="bottom"/>
          </w:tcPr>
          <w:p>
            <w:pPr>
              <w:spacing w:after="0"/>
              <w:rPr>
                <w:sz w:val="21"/>
                <w:szCs w:val="21"/>
                <w:color w:val="auto"/>
              </w:rPr>
            </w:pPr>
          </w:p>
        </w:tc>
        <w:tc>
          <w:tcPr>
            <w:tcW w:w="9300" w:type="dxa"/>
            <w:vAlign w:val="bottom"/>
            <w:gridSpan w:val="5"/>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Combined Consolidated Balance Sheets - As of September 30, 2020 and December 31, 2019</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9040" w:type="dxa"/>
            <w:vAlign w:val="bottom"/>
            <w:tcBorders>
              <w:bottom w:val="single" w:sz="8" w:color="0000EE"/>
            </w:tcBorders>
            <w:gridSpan w:val="3"/>
          </w:tcPr>
          <w:p>
            <w:pPr>
              <w:spacing w:after="0" w:line="190"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Combined Consolidated Statements of Shareholder’s Equity - Three and Nine Months Ended September 30, 2020</w:t>
              </w:r>
            </w:hyperlink>
          </w:p>
        </w:tc>
        <w:tc>
          <w:tcPr>
            <w:tcW w:w="260" w:type="dxa"/>
            <w:vAlign w:val="bottom"/>
            <w:gridSpan w:val="2"/>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9300" w:type="dxa"/>
            <w:vAlign w:val="bottom"/>
            <w:gridSpan w:val="5"/>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and 2019</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64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160" w:type="dxa"/>
            <w:vAlign w:val="bottom"/>
          </w:tcPr>
          <w:p>
            <w:pPr>
              <w:spacing w:after="0"/>
              <w:rPr>
                <w:sz w:val="21"/>
                <w:szCs w:val="21"/>
                <w:color w:val="auto"/>
              </w:rPr>
            </w:pPr>
          </w:p>
        </w:tc>
        <w:tc>
          <w:tcPr>
            <w:tcW w:w="9300" w:type="dxa"/>
            <w:vAlign w:val="bottom"/>
            <w:gridSpan w:val="5"/>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Condensed Combined Consolidated Statements of Cash Flows - Nine Months Ended September 30, 2020 and 2019</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9300" w:type="dxa"/>
            <w:vAlign w:val="bottom"/>
            <w:gridSpan w:val="5"/>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Notes to Condensed Combined Consolidated Financial Statements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5"/>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20"/>
                <w:szCs w:val="20"/>
                <w:color w:val="auto"/>
              </w:rPr>
            </w:pPr>
            <w:r>
              <w:rPr>
                <w:rFonts w:ascii="Arial" w:cs="Arial" w:eastAsia="Arial" w:hAnsi="Arial"/>
                <w:sz w:val="18"/>
                <w:szCs w:val="18"/>
                <w:color w:val="auto"/>
              </w:rPr>
              <w:t>Item 3.</w:t>
            </w:r>
          </w:p>
        </w:tc>
        <w:tc>
          <w:tcPr>
            <w:tcW w:w="9300" w:type="dxa"/>
            <w:vAlign w:val="bottom"/>
            <w:gridSpan w:val="5"/>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Quantitative and Qualitative Disclosures About Market Risk</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6"/>
        </w:trPr>
        <w:tc>
          <w:tcPr>
            <w:tcW w:w="1160" w:type="dxa"/>
            <w:vAlign w:val="bottom"/>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5"/>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Controls and Procedures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3"/>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300" w:type="dxa"/>
            <w:vAlign w:val="bottom"/>
            <w:gridSpan w:val="5"/>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OTHER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5"/>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20"/>
                <w:szCs w:val="20"/>
                <w:color w:val="auto"/>
              </w:rPr>
            </w:pPr>
            <w:r>
              <w:rPr>
                <w:rFonts w:ascii="Arial" w:cs="Arial" w:eastAsia="Arial" w:hAnsi="Arial"/>
                <w:sz w:val="18"/>
                <w:szCs w:val="18"/>
                <w:color w:val="auto"/>
              </w:rPr>
              <w:t>Item 1A.</w:t>
            </w:r>
          </w:p>
        </w:tc>
        <w:tc>
          <w:tcPr>
            <w:tcW w:w="9300" w:type="dxa"/>
            <w:vAlign w:val="bottom"/>
            <w:gridSpan w:val="5"/>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Risk Factors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5"/>
          </w:tcPr>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Unregistered Sales of Equity Securities and Use of Proceeds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Item 3.</w:t>
            </w:r>
          </w:p>
        </w:tc>
        <w:tc>
          <w:tcPr>
            <w:tcW w:w="9300" w:type="dxa"/>
            <w:vAlign w:val="bottom"/>
            <w:gridSpan w:val="5"/>
          </w:tcPr>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Defaults Upon Senior Securities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5"/>
          </w:tcPr>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Mine Safety Disclosures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20"/>
                <w:szCs w:val="20"/>
                <w:color w:val="auto"/>
              </w:rPr>
            </w:pPr>
            <w:r>
              <w:rPr>
                <w:rFonts w:ascii="Arial" w:cs="Arial" w:eastAsia="Arial" w:hAnsi="Arial"/>
                <w:sz w:val="18"/>
                <w:szCs w:val="18"/>
                <w:color w:val="auto"/>
              </w:rPr>
              <w:t>Item 5.</w:t>
            </w:r>
          </w:p>
        </w:tc>
        <w:tc>
          <w:tcPr>
            <w:tcW w:w="9300" w:type="dxa"/>
            <w:vAlign w:val="bottom"/>
            <w:gridSpan w:val="5"/>
          </w:tcPr>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Other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Item 6.</w:t>
            </w:r>
          </w:p>
        </w:tc>
        <w:tc>
          <w:tcPr>
            <w:tcW w:w="9300" w:type="dxa"/>
            <w:vAlign w:val="bottom"/>
            <w:gridSpan w:val="5"/>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Exhibits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1160" w:type="dxa"/>
            <w:vAlign w:val="bottom"/>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Signatures</w:t>
              </w:r>
            </w:hyperlink>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 ABOUT FORWARD-LOOKING STATEMENTS</w:t>
      </w:r>
    </w:p>
    <w:p>
      <w:pPr>
        <w:spacing w:after="0" w:line="270"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This Quarterly Report on Form 10-Q contains forward-looking statements. All statements contained in this Quarterly Report on Form 10-Q other than statements of historical fact, including statements regarding our future results of operations and financial position, our business strategy and plans, and our objectives for future operations, are forward-looking statements. The words “believe,” “may,” “will,” “estimate,” “continue,” “anticipate,” “intend,” “expect,”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Part II, Item 1A, “Risk Factors” in this Quarterly Report on Form 10-Q. Moreover, we operate in a very competitive and rapidly changing environment and market.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spacing w:after="0" w:line="20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undertake no obligation to revise or publicly release the results of any revision to these forward-looking statements, except as required by law.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Given these risks and uncertainties, readers are cautioned not to place undue reliance on such forward-looking statements.</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Corsair Gaming,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Combined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40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457,103</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284,372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1,146,028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770,619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329,159</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224,145</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834,398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616,785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127,944</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60,227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311,630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153,834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Sales, general and administrative</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65,321</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39,811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175,877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115,992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Product development</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12,902</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9,454</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36,285</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28,353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78,223</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49,265</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212,162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144,345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49,721</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10,962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99,468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(10,170)</w:t>
            </w:r>
          </w:p>
        </w:tc>
        <w:tc>
          <w:tcPr>
            <w:tcW w:w="3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(9,119)</w:t>
            </w:r>
          </w:p>
        </w:tc>
        <w:tc>
          <w:tcPr>
            <w:tcW w:w="2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(29,116)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(27,063)</w:t>
            </w: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(expense) income, net</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(399)</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expense, net</w:t>
            </w: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(10,147)</w:t>
            </w:r>
          </w:p>
        </w:tc>
        <w:tc>
          <w:tcPr>
            <w:tcW w:w="24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(9,518)</w:t>
            </w:r>
          </w:p>
        </w:tc>
        <w:tc>
          <w:tcPr>
            <w:tcW w:w="2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(29,145)</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(28,540)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Income (loss) before income taxes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39,574</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70,323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140"/>
              <w:spacing w:after="0"/>
              <w:rPr>
                <w:sz w:val="20"/>
                <w:szCs w:val="20"/>
                <w:color w:val="auto"/>
              </w:rPr>
            </w:pPr>
            <w:r>
              <w:rPr>
                <w:rFonts w:ascii="Arial" w:cs="Arial" w:eastAsia="Arial" w:hAnsi="Arial"/>
                <w:sz w:val="18"/>
                <w:szCs w:val="18"/>
                <w:color w:val="auto"/>
              </w:rPr>
              <w:t>Income tax (expense) benefit</w:t>
            </w: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(3,217)</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(10,149)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36,357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60,174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(14,406)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Net income (loss) per share</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0.43</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5840" w:type="dxa"/>
            <w:vAlign w:val="bottom"/>
            <w:tcBorders>
              <w:top w:val="single" w:sz="8" w:color="CFF0FC"/>
              <w:bottom w:val="single" w:sz="8" w:color="CFF0FC"/>
            </w:tcBorders>
            <w:vMerge w:val="restart"/>
          </w:tcPr>
          <w:p>
            <w:pPr>
              <w:ind w:left="140"/>
              <w:spacing w:after="0"/>
              <w:rPr>
                <w:sz w:val="20"/>
                <w:szCs w:val="20"/>
                <w:color w:val="auto"/>
              </w:rPr>
            </w:pPr>
            <w:r>
              <w:rPr>
                <w:rFonts w:ascii="Arial" w:cs="Arial" w:eastAsia="Arial" w:hAnsi="Arial"/>
                <w:sz w:val="18"/>
                <w:szCs w:val="18"/>
                <w:color w:val="auto"/>
              </w:rPr>
              <w:t>Diluted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FF0FC"/>
            </w:tcBorders>
            <w:vMerge w:val="continue"/>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24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0.69</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Weighted-average shares used to compute net income</w:t>
            </w: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(loss) per share</w:t>
            </w: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58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84,871</w:t>
            </w:r>
          </w:p>
        </w:tc>
        <w:tc>
          <w:tcPr>
            <w:tcW w:w="240" w:type="dxa"/>
            <w:vAlign w:val="bottom"/>
            <w:tcBorders>
              <w:bottom w:val="single" w:sz="8" w:color="CFF0FC"/>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75,939</w:t>
            </w:r>
          </w:p>
        </w:tc>
        <w:tc>
          <w:tcPr>
            <w:tcW w:w="240" w:type="dxa"/>
            <w:vAlign w:val="bottom"/>
            <w:tcBorders>
              <w:bottom w:val="single" w:sz="8" w:color="CFF0FC"/>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84,352</w:t>
            </w:r>
          </w:p>
        </w:tc>
        <w:tc>
          <w:tcPr>
            <w:tcW w:w="16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75,928</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90,084</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77,884</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87,499</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75,928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combined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Corsair Gaming,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Combined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6"/>
              </w:rPr>
              <w:t>Three Months Ended</w:t>
            </w:r>
          </w:p>
        </w:tc>
        <w:tc>
          <w:tcPr>
            <w:tcW w:w="160" w:type="dxa"/>
            <w:vAlign w:val="bottom"/>
          </w:tcPr>
          <w:p>
            <w:pPr>
              <w:spacing w:after="0"/>
              <w:rPr>
                <w:sz w:val="14"/>
                <w:szCs w:val="14"/>
                <w:color w:val="auto"/>
              </w:rPr>
            </w:pPr>
          </w:p>
        </w:tc>
        <w:tc>
          <w:tcPr>
            <w:tcW w:w="1680" w:type="dxa"/>
            <w:vAlign w:val="bottom"/>
            <w:gridSpan w:val="6"/>
          </w:tcPr>
          <w:p>
            <w:pPr>
              <w:jc w:val="right"/>
              <w:ind w:right="281"/>
              <w:spacing w:after="0"/>
              <w:rPr>
                <w:sz w:val="20"/>
                <w:szCs w:val="20"/>
                <w:color w:val="auto"/>
              </w:rPr>
            </w:pPr>
            <w:r>
              <w:rPr>
                <w:rFonts w:ascii="Arial" w:cs="Arial" w:eastAsia="Arial" w:hAnsi="Arial"/>
                <w:sz w:val="14"/>
                <w:szCs w:val="14"/>
                <w:b w:val="1"/>
                <w:bCs w:val="1"/>
                <w:color w:val="auto"/>
                <w:w w:val="99"/>
              </w:rPr>
              <w:t>Nine Months Ended</w:t>
            </w:r>
          </w:p>
        </w:tc>
      </w:tr>
      <w:tr>
        <w:trPr>
          <w:trHeight w:val="171"/>
        </w:trPr>
        <w:tc>
          <w:tcPr>
            <w:tcW w:w="7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680" w:type="dxa"/>
            <w:vAlign w:val="bottom"/>
            <w:gridSpan w:val="6"/>
          </w:tcPr>
          <w:p>
            <w:pPr>
              <w:jc w:val="right"/>
              <w:ind w:right="461"/>
              <w:spacing w:after="0"/>
              <w:rPr>
                <w:sz w:val="20"/>
                <w:szCs w:val="20"/>
                <w:color w:val="auto"/>
              </w:rPr>
            </w:pPr>
            <w:r>
              <w:rPr>
                <w:rFonts w:ascii="Arial" w:cs="Arial" w:eastAsia="Arial" w:hAnsi="Arial"/>
                <w:sz w:val="14"/>
                <w:szCs w:val="14"/>
                <w:b w:val="1"/>
                <w:bCs w:val="1"/>
                <w:color w:val="auto"/>
              </w:rPr>
              <w:t>September 30,</w:t>
            </w:r>
          </w:p>
        </w:tc>
      </w:tr>
      <w:tr>
        <w:trPr>
          <w:trHeight w:val="156"/>
        </w:trPr>
        <w:tc>
          <w:tcPr>
            <w:tcW w:w="746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38"/>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38"/>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746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36,357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60,174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(14,406)</w:t>
            </w:r>
          </w:p>
        </w:tc>
        <w:tc>
          <w:tcPr>
            <w:tcW w:w="100" w:type="dxa"/>
            <w:vAlign w:val="bottom"/>
            <w:shd w:val="clear" w:color="auto" w:fill="CFF0FC"/>
          </w:tcPr>
          <w:p>
            <w:pPr>
              <w:spacing w:after="0"/>
              <w:rPr>
                <w:sz w:val="19"/>
                <w:szCs w:val="19"/>
                <w:color w:val="auto"/>
              </w:rPr>
            </w:pPr>
          </w:p>
        </w:tc>
      </w:tr>
      <w:tr>
        <w:trPr>
          <w:trHeight w:val="230"/>
        </w:trPr>
        <w:tc>
          <w:tcPr>
            <w:tcW w:w="7460" w:type="dxa"/>
            <w:vAlign w:val="bottom"/>
          </w:tcPr>
          <w:p>
            <w:pPr>
              <w:spacing w:after="0"/>
              <w:rPr>
                <w:sz w:val="20"/>
                <w:szCs w:val="20"/>
                <w:color w:val="auto"/>
              </w:rPr>
            </w:pPr>
            <w:r>
              <w:rPr>
                <w:rFonts w:ascii="Arial" w:cs="Arial" w:eastAsia="Arial" w:hAnsi="Arial"/>
                <w:sz w:val="18"/>
                <w:szCs w:val="18"/>
                <w:color w:val="auto"/>
              </w:rPr>
              <w:t>Other comprehensive gain (loss):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4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Foreign currency translation adjustments, net of zero tax</w:t>
            </w: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2,378</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(1,217)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w:t>
            </w:r>
          </w:p>
        </w:tc>
      </w:tr>
      <w:tr>
        <w:trPr>
          <w:trHeight w:val="215"/>
        </w:trPr>
        <w:tc>
          <w:tcPr>
            <w:tcW w:w="7460" w:type="dxa"/>
            <w:vAlign w:val="bottom"/>
          </w:tcPr>
          <w:p>
            <w:pPr>
              <w:ind w:left="140"/>
              <w:spacing w:after="0"/>
              <w:rPr>
                <w:sz w:val="20"/>
                <w:szCs w:val="20"/>
                <w:color w:val="auto"/>
              </w:rPr>
            </w:pPr>
            <w:r>
              <w:rPr>
                <w:rFonts w:ascii="Arial" w:cs="Arial" w:eastAsia="Arial" w:hAnsi="Arial"/>
                <w:sz w:val="18"/>
                <w:szCs w:val="18"/>
                <w:color w:val="auto"/>
              </w:rPr>
              <w:t>Unrealized foreign exchange gain (loss) from long-term intercompany loans, net of</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60" w:type="dxa"/>
            <w:vAlign w:val="bottom"/>
          </w:tcPr>
          <w:p>
            <w:pPr>
              <w:ind w:left="280"/>
              <w:spacing w:after="0"/>
              <w:rPr>
                <w:sz w:val="20"/>
                <w:szCs w:val="20"/>
                <w:color w:val="auto"/>
              </w:rPr>
            </w:pPr>
            <w:r>
              <w:rPr>
                <w:rFonts w:ascii="Arial" w:cs="Arial" w:eastAsia="Arial" w:hAnsi="Arial"/>
                <w:sz w:val="18"/>
                <w:szCs w:val="18"/>
                <w:color w:val="auto"/>
              </w:rPr>
              <w:t>tax benefit (expense) of $(128) and $134 for the three months ended September 30,</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60" w:type="dxa"/>
            <w:vAlign w:val="bottom"/>
          </w:tcPr>
          <w:p>
            <w:pPr>
              <w:ind w:left="280"/>
              <w:spacing w:after="0"/>
              <w:rPr>
                <w:sz w:val="20"/>
                <w:szCs w:val="20"/>
                <w:color w:val="auto"/>
              </w:rPr>
            </w:pPr>
            <w:r>
              <w:rPr>
                <w:rFonts w:ascii="Arial" w:cs="Arial" w:eastAsia="Arial" w:hAnsi="Arial"/>
                <w:sz w:val="18"/>
                <w:szCs w:val="18"/>
                <w:color w:val="auto"/>
              </w:rPr>
              <w:t>2020 and 2019, respectively and $(24) and $139 for the nine months ended</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460" w:type="dxa"/>
            <w:vAlign w:val="bottom"/>
          </w:tcPr>
          <w:p>
            <w:pPr>
              <w:ind w:left="280"/>
              <w:spacing w:after="0"/>
              <w:rPr>
                <w:sz w:val="20"/>
                <w:szCs w:val="20"/>
                <w:color w:val="auto"/>
              </w:rPr>
            </w:pPr>
            <w:r>
              <w:rPr>
                <w:rFonts w:ascii="Arial" w:cs="Arial" w:eastAsia="Arial" w:hAnsi="Arial"/>
                <w:sz w:val="18"/>
                <w:szCs w:val="18"/>
                <w:color w:val="auto"/>
              </w:rPr>
              <w:t>September 30, 2020 and 2019, respectively</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691</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(682)</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(704)</w:t>
            </w:r>
          </w:p>
        </w:tc>
      </w:tr>
      <w:tr>
        <w:trPr>
          <w:trHeight w:val="223"/>
        </w:trPr>
        <w:tc>
          <w:tcPr>
            <w:tcW w:w="7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39,426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59,537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(15,162</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combined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Corsair Gaming, Inc.</w:t>
      </w:r>
    </w:p>
    <w:p>
      <w:pPr>
        <w:spacing w:after="0" w:line="2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Condensed Combined Consolidated Balance Sheets</w:t>
      </w:r>
    </w:p>
    <w:p>
      <w:pPr>
        <w:spacing w:after="0" w:line="9"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140" w:type="dxa"/>
            <w:vAlign w:val="bottom"/>
            <w:tcBorders>
              <w:bottom w:val="single" w:sz="8" w:color="CFF0FC"/>
            </w:tcBorders>
          </w:tcPr>
          <w:p>
            <w:pPr>
              <w:spacing w:after="0"/>
              <w:rPr>
                <w:sz w:val="14"/>
                <w:szCs w:val="14"/>
                <w:color w:val="auto"/>
              </w:rPr>
            </w:pPr>
          </w:p>
        </w:tc>
        <w:tc>
          <w:tcPr>
            <w:tcW w:w="7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r>
      <w:tr>
        <w:trPr>
          <w:trHeight w:val="223"/>
        </w:trPr>
        <w:tc>
          <w:tcPr>
            <w:tcW w:w="7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140" w:type="dxa"/>
            <w:vAlign w:val="bottom"/>
          </w:tcPr>
          <w:p>
            <w:pPr>
              <w:spacing w:after="0"/>
              <w:rPr>
                <w:sz w:val="20"/>
                <w:szCs w:val="20"/>
                <w:color w:val="auto"/>
              </w:rPr>
            </w:pPr>
            <w:r>
              <w:rPr>
                <w:rFonts w:ascii="Arial" w:cs="Arial" w:eastAsia="Arial" w:hAnsi="Arial"/>
                <w:sz w:val="18"/>
                <w:szCs w:val="18"/>
                <w:color w:val="auto"/>
              </w:rPr>
              <w:t>Current assets:</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w:t>
            </w:r>
          </w:p>
        </w:tc>
        <w:tc>
          <w:tcPr>
            <w:tcW w:w="94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116,185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48,165</w:t>
            </w:r>
          </w:p>
        </w:tc>
        <w:tc>
          <w:tcPr>
            <w:tcW w:w="100" w:type="dxa"/>
            <w:vAlign w:val="bottom"/>
            <w:shd w:val="clear" w:color="auto" w:fill="CFF0FC"/>
          </w:tcPr>
          <w:p>
            <w:pPr>
              <w:spacing w:after="0"/>
              <w:rPr>
                <w:sz w:val="19"/>
                <w:szCs w:val="19"/>
                <w:color w:val="auto"/>
              </w:rPr>
            </w:pPr>
          </w:p>
        </w:tc>
      </w:tr>
      <w:tr>
        <w:trPr>
          <w:trHeight w:val="229"/>
        </w:trPr>
        <w:tc>
          <w:tcPr>
            <w:tcW w:w="714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3,726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3,552</w:t>
            </w:r>
          </w:p>
        </w:tc>
        <w:tc>
          <w:tcPr>
            <w:tcW w:w="100" w:type="dxa"/>
            <w:vAlign w:val="bottom"/>
          </w:tcPr>
          <w:p>
            <w:pPr>
              <w:spacing w:after="0"/>
              <w:rPr>
                <w:sz w:val="19"/>
                <w:szCs w:val="19"/>
                <w:color w:val="auto"/>
              </w:rPr>
            </w:pPr>
          </w:p>
        </w:tc>
      </w:tr>
      <w:tr>
        <w:trPr>
          <w:trHeight w:val="229"/>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259,542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202,334</w:t>
            </w:r>
          </w:p>
        </w:tc>
        <w:tc>
          <w:tcPr>
            <w:tcW w:w="100" w:type="dxa"/>
            <w:vAlign w:val="bottom"/>
            <w:shd w:val="clear" w:color="auto" w:fill="CFF0FC"/>
          </w:tcPr>
          <w:p>
            <w:pPr>
              <w:spacing w:after="0"/>
              <w:rPr>
                <w:sz w:val="19"/>
                <w:szCs w:val="19"/>
                <w:color w:val="auto"/>
              </w:rPr>
            </w:pPr>
          </w:p>
        </w:tc>
      </w:tr>
      <w:tr>
        <w:trPr>
          <w:trHeight w:val="230"/>
        </w:trPr>
        <w:tc>
          <w:tcPr>
            <w:tcW w:w="714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210,151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151,063</w:t>
            </w:r>
          </w:p>
        </w:tc>
        <w:tc>
          <w:tcPr>
            <w:tcW w:w="100" w:type="dxa"/>
            <w:vAlign w:val="bottom"/>
          </w:tcPr>
          <w:p>
            <w:pPr>
              <w:spacing w:after="0"/>
              <w:rPr>
                <w:sz w:val="19"/>
                <w:szCs w:val="19"/>
                <w:color w:val="auto"/>
              </w:rPr>
            </w:pPr>
          </w:p>
        </w:tc>
      </w:tr>
      <w:tr>
        <w:trPr>
          <w:trHeight w:val="229"/>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7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38,014</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24,696</w:t>
            </w:r>
          </w:p>
        </w:tc>
        <w:tc>
          <w:tcPr>
            <w:tcW w:w="100" w:type="dxa"/>
            <w:vAlign w:val="bottom"/>
            <w:shd w:val="clear" w:color="auto" w:fill="CFF0FC"/>
          </w:tcPr>
          <w:p>
            <w:pPr>
              <w:spacing w:after="0"/>
              <w:rPr>
                <w:sz w:val="19"/>
                <w:szCs w:val="19"/>
                <w:color w:val="auto"/>
              </w:rPr>
            </w:pPr>
          </w:p>
        </w:tc>
      </w:tr>
      <w:tr>
        <w:trPr>
          <w:trHeight w:val="223"/>
        </w:trPr>
        <w:tc>
          <w:tcPr>
            <w:tcW w:w="714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627,618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429,810</w:t>
            </w:r>
          </w:p>
        </w:tc>
        <w:tc>
          <w:tcPr>
            <w:tcW w:w="100" w:type="dxa"/>
            <w:vAlign w:val="bottom"/>
          </w:tcPr>
          <w:p>
            <w:pPr>
              <w:spacing w:after="0"/>
              <w:rPr>
                <w:sz w:val="19"/>
                <w:szCs w:val="19"/>
                <w:color w:val="auto"/>
              </w:rPr>
            </w:pPr>
          </w:p>
        </w:tc>
      </w:tr>
      <w:tr>
        <w:trPr>
          <w:trHeight w:val="229"/>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15,404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15,365</w:t>
            </w:r>
          </w:p>
        </w:tc>
        <w:tc>
          <w:tcPr>
            <w:tcW w:w="100" w:type="dxa"/>
            <w:vAlign w:val="bottom"/>
            <w:shd w:val="clear" w:color="auto" w:fill="CFF0FC"/>
          </w:tcPr>
          <w:p>
            <w:pPr>
              <w:spacing w:after="0"/>
              <w:rPr>
                <w:sz w:val="19"/>
                <w:szCs w:val="19"/>
                <w:color w:val="auto"/>
              </w:rPr>
            </w:pPr>
          </w:p>
        </w:tc>
      </w:tr>
      <w:tr>
        <w:trPr>
          <w:trHeight w:val="229"/>
        </w:trPr>
        <w:tc>
          <w:tcPr>
            <w:tcW w:w="7140" w:type="dxa"/>
            <w:vAlign w:val="bottom"/>
          </w:tcPr>
          <w:p>
            <w:pPr>
              <w:spacing w:after="0"/>
              <w:rPr>
                <w:sz w:val="20"/>
                <w:szCs w:val="20"/>
                <w:color w:val="auto"/>
              </w:rPr>
            </w:pPr>
            <w:r>
              <w:rPr>
                <w:rFonts w:ascii="Arial" w:cs="Arial" w:eastAsia="Arial" w:hAnsi="Arial"/>
                <w:sz w:val="18"/>
                <w:szCs w:val="18"/>
                <w:color w:val="auto"/>
              </w:rPr>
              <w:t>Goodwill</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311,573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312,750</w:t>
            </w:r>
          </w:p>
        </w:tc>
        <w:tc>
          <w:tcPr>
            <w:tcW w:w="100" w:type="dxa"/>
            <w:vAlign w:val="bottom"/>
          </w:tcPr>
          <w:p>
            <w:pPr>
              <w:spacing w:after="0"/>
              <w:rPr>
                <w:sz w:val="19"/>
                <w:szCs w:val="19"/>
                <w:color w:val="auto"/>
              </w:rPr>
            </w:pPr>
          </w:p>
        </w:tc>
      </w:tr>
      <w:tr>
        <w:trPr>
          <w:trHeight w:val="230"/>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net</w:t>
            </w: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265,446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291,027</w:t>
            </w:r>
          </w:p>
        </w:tc>
        <w:tc>
          <w:tcPr>
            <w:tcW w:w="100" w:type="dxa"/>
            <w:vAlign w:val="bottom"/>
            <w:shd w:val="clear" w:color="auto" w:fill="CFF0FC"/>
          </w:tcPr>
          <w:p>
            <w:pPr>
              <w:spacing w:after="0"/>
              <w:rPr>
                <w:sz w:val="19"/>
                <w:szCs w:val="19"/>
                <w:color w:val="auto"/>
              </w:rPr>
            </w:pPr>
          </w:p>
        </w:tc>
      </w:tr>
      <w:tr>
        <w:trPr>
          <w:trHeight w:val="229"/>
        </w:trPr>
        <w:tc>
          <w:tcPr>
            <w:tcW w:w="7140" w:type="dxa"/>
            <w:vAlign w:val="bottom"/>
          </w:tcPr>
          <w:p>
            <w:pPr>
              <w:spacing w:after="0"/>
              <w:rPr>
                <w:sz w:val="20"/>
                <w:szCs w:val="20"/>
                <w:color w:val="auto"/>
              </w:rPr>
            </w:pPr>
            <w:r>
              <w:rPr>
                <w:rFonts w:ascii="Arial" w:cs="Arial" w:eastAsia="Arial" w:hAnsi="Arial"/>
                <w:sz w:val="18"/>
                <w:szCs w:val="18"/>
                <w:color w:val="auto"/>
              </w:rPr>
              <w:t>Restricted cash, noncurrent</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r>
      <w:tr>
        <w:trPr>
          <w:trHeight w:val="230"/>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7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35,449</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10,536</w:t>
            </w:r>
          </w:p>
        </w:tc>
        <w:tc>
          <w:tcPr>
            <w:tcW w:w="100" w:type="dxa"/>
            <w:vAlign w:val="bottom"/>
            <w:shd w:val="clear" w:color="auto" w:fill="CFF0FC"/>
          </w:tcPr>
          <w:p>
            <w:pPr>
              <w:spacing w:after="0"/>
              <w:rPr>
                <w:sz w:val="19"/>
                <w:szCs w:val="19"/>
                <w:color w:val="auto"/>
              </w:rPr>
            </w:pPr>
          </w:p>
        </w:tc>
      </w:tr>
      <w:tr>
        <w:trPr>
          <w:trHeight w:val="263"/>
        </w:trPr>
        <w:tc>
          <w:tcPr>
            <w:tcW w:w="7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74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1,255,720</w:t>
            </w:r>
          </w:p>
        </w:tc>
        <w:tc>
          <w:tcPr>
            <w:tcW w:w="2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1,059,718</w:t>
            </w:r>
          </w:p>
        </w:tc>
        <w:tc>
          <w:tcPr>
            <w:tcW w:w="100" w:type="dxa"/>
            <w:vAlign w:val="bottom"/>
            <w:tcBorders>
              <w:bottom w:val="single" w:sz="8" w:color="CFF0FC"/>
            </w:tcBorders>
          </w:tcPr>
          <w:p>
            <w:pPr>
              <w:spacing w:after="0"/>
              <w:rPr>
                <w:sz w:val="22"/>
                <w:szCs w:val="22"/>
                <w:color w:val="auto"/>
              </w:rPr>
            </w:pPr>
          </w:p>
        </w:tc>
      </w:tr>
      <w:tr>
        <w:trPr>
          <w:trHeight w:val="210"/>
        </w:trPr>
        <w:tc>
          <w:tcPr>
            <w:tcW w:w="7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Current liabilities:</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94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274,771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182,025</w:t>
            </w:r>
          </w:p>
        </w:tc>
        <w:tc>
          <w:tcPr>
            <w:tcW w:w="100" w:type="dxa"/>
            <w:vAlign w:val="bottom"/>
            <w:shd w:val="clear" w:color="auto" w:fill="CFF0FC"/>
          </w:tcPr>
          <w:p>
            <w:pPr>
              <w:spacing w:after="0"/>
              <w:rPr>
                <w:sz w:val="19"/>
                <w:szCs w:val="19"/>
                <w:color w:val="auto"/>
              </w:rPr>
            </w:pPr>
          </w:p>
        </w:tc>
      </w:tr>
      <w:tr>
        <w:trPr>
          <w:trHeight w:val="229"/>
        </w:trPr>
        <w:tc>
          <w:tcPr>
            <w:tcW w:w="7140" w:type="dxa"/>
            <w:vAlign w:val="bottom"/>
          </w:tcPr>
          <w:p>
            <w:pPr>
              <w:ind w:left="260"/>
              <w:spacing w:after="0"/>
              <w:rPr>
                <w:sz w:val="20"/>
                <w:szCs w:val="20"/>
                <w:color w:val="auto"/>
              </w:rPr>
            </w:pPr>
            <w:r>
              <w:rPr>
                <w:rFonts w:ascii="Arial" w:cs="Arial" w:eastAsia="Arial" w:hAnsi="Arial"/>
                <w:sz w:val="18"/>
                <w:szCs w:val="18"/>
                <w:color w:val="auto"/>
              </w:rPr>
              <w:t>Current portion of debt, net</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2,364</w:t>
            </w:r>
          </w:p>
        </w:tc>
        <w:tc>
          <w:tcPr>
            <w:tcW w:w="100" w:type="dxa"/>
            <w:vAlign w:val="bottom"/>
          </w:tcPr>
          <w:p>
            <w:pPr>
              <w:spacing w:after="0"/>
              <w:rPr>
                <w:sz w:val="19"/>
                <w:szCs w:val="19"/>
                <w:color w:val="auto"/>
              </w:rPr>
            </w:pPr>
          </w:p>
        </w:tc>
      </w:tr>
      <w:tr>
        <w:trPr>
          <w:trHeight w:val="230"/>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liabilities and accrued expenses</w:t>
            </w:r>
          </w:p>
        </w:tc>
        <w:tc>
          <w:tcPr>
            <w:tcW w:w="7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169,586</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115,541</w:t>
            </w:r>
          </w:p>
        </w:tc>
        <w:tc>
          <w:tcPr>
            <w:tcW w:w="100" w:type="dxa"/>
            <w:vAlign w:val="bottom"/>
            <w:shd w:val="clear" w:color="auto" w:fill="CFF0FC"/>
          </w:tcPr>
          <w:p>
            <w:pPr>
              <w:spacing w:after="0"/>
              <w:rPr>
                <w:sz w:val="19"/>
                <w:szCs w:val="19"/>
                <w:color w:val="auto"/>
              </w:rPr>
            </w:pPr>
          </w:p>
        </w:tc>
      </w:tr>
      <w:tr>
        <w:trPr>
          <w:trHeight w:val="223"/>
        </w:trPr>
        <w:tc>
          <w:tcPr>
            <w:tcW w:w="714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444,357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299,930</w:t>
            </w:r>
          </w:p>
        </w:tc>
        <w:tc>
          <w:tcPr>
            <w:tcW w:w="100" w:type="dxa"/>
            <w:vAlign w:val="bottom"/>
          </w:tcPr>
          <w:p>
            <w:pPr>
              <w:spacing w:after="0"/>
              <w:rPr>
                <w:sz w:val="19"/>
                <w:szCs w:val="19"/>
                <w:color w:val="auto"/>
              </w:rPr>
            </w:pPr>
          </w:p>
        </w:tc>
      </w:tr>
      <w:tr>
        <w:trPr>
          <w:trHeight w:val="215"/>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Debt, net including related party balance of nil and $5,779 as of September 30, 2020 and</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1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December 31, 2019, respectively</w:t>
            </w: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370,090</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503,448</w:t>
            </w:r>
          </w:p>
        </w:tc>
        <w:tc>
          <w:tcPr>
            <w:tcW w:w="100" w:type="dxa"/>
            <w:vAlign w:val="bottom"/>
            <w:shd w:val="clear" w:color="auto" w:fill="CFF0FC"/>
          </w:tcPr>
          <w:p>
            <w:pPr>
              <w:spacing w:after="0"/>
              <w:rPr>
                <w:sz w:val="20"/>
                <w:szCs w:val="20"/>
                <w:color w:val="auto"/>
              </w:rPr>
            </w:pPr>
          </w:p>
        </w:tc>
      </w:tr>
      <w:tr>
        <w:trPr>
          <w:trHeight w:val="229"/>
        </w:trPr>
        <w:tc>
          <w:tcPr>
            <w:tcW w:w="71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30,655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33,820</w:t>
            </w:r>
          </w:p>
        </w:tc>
        <w:tc>
          <w:tcPr>
            <w:tcW w:w="100" w:type="dxa"/>
            <w:vAlign w:val="bottom"/>
          </w:tcPr>
          <w:p>
            <w:pPr>
              <w:spacing w:after="0"/>
              <w:rPr>
                <w:sz w:val="19"/>
                <w:szCs w:val="19"/>
                <w:color w:val="auto"/>
              </w:rPr>
            </w:pPr>
          </w:p>
        </w:tc>
      </w:tr>
      <w:tr>
        <w:trPr>
          <w:trHeight w:val="230"/>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 noncurrent</w:t>
            </w:r>
          </w:p>
        </w:tc>
        <w:tc>
          <w:tcPr>
            <w:tcW w:w="7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22,066</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5,745</w:t>
            </w:r>
          </w:p>
        </w:tc>
        <w:tc>
          <w:tcPr>
            <w:tcW w:w="100" w:type="dxa"/>
            <w:vAlign w:val="bottom"/>
            <w:shd w:val="clear" w:color="auto" w:fill="CFF0FC"/>
          </w:tcPr>
          <w:p>
            <w:pPr>
              <w:spacing w:after="0"/>
              <w:rPr>
                <w:sz w:val="19"/>
                <w:szCs w:val="19"/>
                <w:color w:val="auto"/>
              </w:rPr>
            </w:pPr>
          </w:p>
        </w:tc>
      </w:tr>
      <w:tr>
        <w:trPr>
          <w:trHeight w:val="223"/>
        </w:trPr>
        <w:tc>
          <w:tcPr>
            <w:tcW w:w="7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w:t>
            </w:r>
          </w:p>
        </w:tc>
        <w:tc>
          <w:tcPr>
            <w:tcW w:w="7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867,168</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842,943</w:t>
            </w:r>
          </w:p>
        </w:tc>
        <w:tc>
          <w:tcPr>
            <w:tcW w:w="100" w:type="dxa"/>
            <w:vAlign w:val="bottom"/>
            <w:tcBorders>
              <w:bottom w:val="single" w:sz="8" w:color="CFF0FC"/>
            </w:tcBorders>
          </w:tcPr>
          <w:p>
            <w:pPr>
              <w:spacing w:after="0"/>
              <w:rPr>
                <w:sz w:val="19"/>
                <w:szCs w:val="19"/>
                <w:color w:val="auto"/>
              </w:rPr>
            </w:pPr>
          </w:p>
        </w:tc>
      </w:tr>
      <w:tr>
        <w:trPr>
          <w:trHeight w:val="223"/>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9)</w:t>
            </w: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Stockholders’ Equity:</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7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Preferred stock, $0.0001 par value: 5,000 shares authorized, nil and nil shares issued</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and outstanding as of September 30, 2020 and December 31, 2019, respectively</w:t>
            </w: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7140" w:type="dxa"/>
            <w:vAlign w:val="bottom"/>
          </w:tcPr>
          <w:p>
            <w:pPr>
              <w:ind w:left="140"/>
              <w:spacing w:after="0"/>
              <w:rPr>
                <w:sz w:val="20"/>
                <w:szCs w:val="20"/>
                <w:color w:val="auto"/>
              </w:rPr>
            </w:pPr>
            <w:r>
              <w:rPr>
                <w:rFonts w:ascii="Arial" w:cs="Arial" w:eastAsia="Arial" w:hAnsi="Arial"/>
                <w:sz w:val="18"/>
                <w:szCs w:val="18"/>
                <w:color w:val="auto"/>
              </w:rPr>
              <w:t>Common stock, $0.0001 par value: 300,000 shares authorized, 91,914 and 84,079</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tcPr>
          <w:p>
            <w:pPr>
              <w:ind w:left="220"/>
              <w:spacing w:after="0"/>
              <w:rPr>
                <w:sz w:val="20"/>
                <w:szCs w:val="20"/>
                <w:color w:val="auto"/>
              </w:rPr>
            </w:pPr>
            <w:r>
              <w:rPr>
                <w:rFonts w:ascii="Arial" w:cs="Arial" w:eastAsia="Arial" w:hAnsi="Arial"/>
                <w:sz w:val="18"/>
                <w:szCs w:val="18"/>
                <w:color w:val="auto"/>
              </w:rPr>
              <w:t>shares issued and outstanding as of September 30, 2020 and December 31, 2019,</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140" w:type="dxa"/>
            <w:vAlign w:val="bottom"/>
          </w:tcPr>
          <w:p>
            <w:pPr>
              <w:ind w:left="220"/>
              <w:spacing w:after="0"/>
              <w:rPr>
                <w:sz w:val="20"/>
                <w:szCs w:val="20"/>
                <w:color w:val="auto"/>
              </w:rPr>
            </w:pPr>
            <w:r>
              <w:rPr>
                <w:rFonts w:ascii="Arial" w:cs="Arial" w:eastAsia="Arial" w:hAnsi="Arial"/>
                <w:sz w:val="18"/>
                <w:szCs w:val="18"/>
                <w:color w:val="auto"/>
              </w:rPr>
              <w:t>respectively</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r>
      <w:tr>
        <w:trPr>
          <w:trHeight w:val="230"/>
        </w:trPr>
        <w:tc>
          <w:tcPr>
            <w:tcW w:w="7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Additional paid-in capital</w:t>
            </w: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437,207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324,968</w:t>
            </w:r>
          </w:p>
        </w:tc>
        <w:tc>
          <w:tcPr>
            <w:tcW w:w="100" w:type="dxa"/>
            <w:vAlign w:val="bottom"/>
            <w:shd w:val="clear" w:color="auto" w:fill="CFF0FC"/>
          </w:tcPr>
          <w:p>
            <w:pPr>
              <w:spacing w:after="0"/>
              <w:rPr>
                <w:sz w:val="19"/>
                <w:szCs w:val="19"/>
                <w:color w:val="auto"/>
              </w:rPr>
            </w:pPr>
          </w:p>
        </w:tc>
      </w:tr>
      <w:tr>
        <w:trPr>
          <w:trHeight w:val="229"/>
        </w:trPr>
        <w:tc>
          <w:tcPr>
            <w:tcW w:w="7140" w:type="dxa"/>
            <w:vAlign w:val="bottom"/>
          </w:tcPr>
          <w:p>
            <w:pPr>
              <w:ind w:left="140"/>
              <w:spacing w:after="0"/>
              <w:rPr>
                <w:sz w:val="20"/>
                <w:szCs w:val="20"/>
                <w:color w:val="auto"/>
              </w:rPr>
            </w:pPr>
            <w:r>
              <w:rPr>
                <w:rFonts w:ascii="Arial" w:cs="Arial" w:eastAsia="Arial" w:hAnsi="Arial"/>
                <w:sz w:val="18"/>
                <w:szCs w:val="18"/>
                <w:color w:val="auto"/>
              </w:rPr>
              <w:t>Accumulated deficit</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(45,856)</w:t>
            </w:r>
          </w:p>
        </w:tc>
        <w:tc>
          <w:tcPr>
            <w:tcW w:w="22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(106,030)</w:t>
            </w:r>
          </w:p>
        </w:tc>
      </w:tr>
      <w:tr>
        <w:trPr>
          <w:trHeight w:val="230"/>
        </w:trPr>
        <w:tc>
          <w:tcPr>
            <w:tcW w:w="7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Accumulated other comprehensive loss</w:t>
            </w: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(2,808)</w:t>
            </w:r>
          </w:p>
        </w:tc>
        <w:tc>
          <w:tcPr>
            <w:tcW w:w="2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(2,171)</w:t>
            </w:r>
          </w:p>
        </w:tc>
      </w:tr>
      <w:tr>
        <w:trPr>
          <w:trHeight w:val="223"/>
        </w:trPr>
        <w:tc>
          <w:tcPr>
            <w:tcW w:w="71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7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388,552</w:t>
            </w:r>
          </w:p>
        </w:tc>
        <w:tc>
          <w:tcPr>
            <w:tcW w:w="2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216,775</w:t>
            </w:r>
          </w:p>
        </w:tc>
        <w:tc>
          <w:tcPr>
            <w:tcW w:w="100" w:type="dxa"/>
            <w:vAlign w:val="bottom"/>
            <w:tcBorders>
              <w:bottom w:val="single" w:sz="8" w:color="CFF0FC"/>
            </w:tcBorders>
          </w:tcPr>
          <w:p>
            <w:pPr>
              <w:spacing w:after="0"/>
              <w:rPr>
                <w:sz w:val="19"/>
                <w:szCs w:val="19"/>
                <w:color w:val="auto"/>
              </w:rPr>
            </w:pPr>
          </w:p>
        </w:tc>
      </w:tr>
      <w:tr>
        <w:trPr>
          <w:trHeight w:val="223"/>
        </w:trPr>
        <w:tc>
          <w:tcPr>
            <w:tcW w:w="7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7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1,255,720</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1,059,718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combined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Corsair Gaming,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Combined 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12"/>
          </w:tcPr>
          <w:p>
            <w:pPr>
              <w:spacing w:after="0"/>
              <w:rPr>
                <w:sz w:val="20"/>
                <w:szCs w:val="20"/>
                <w:color w:val="auto"/>
              </w:rPr>
            </w:pPr>
            <w:r>
              <w:rPr>
                <w:rFonts w:ascii="Arial" w:cs="Arial" w:eastAsia="Arial" w:hAnsi="Arial"/>
                <w:sz w:val="14"/>
                <w:szCs w:val="14"/>
                <w:b w:val="1"/>
                <w:bCs w:val="1"/>
                <w:color w:val="auto"/>
                <w:w w:val="91"/>
              </w:rPr>
              <w:t>Three months ended September 30, 2020</w:t>
            </w: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4"/>
          </w:tcPr>
          <w:p>
            <w:pPr>
              <w:ind w:left="20"/>
              <w:spacing w:after="0" w:line="133" w:lineRule="exact"/>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1"/>
                <w:szCs w:val="11"/>
                <w:color w:val="auto"/>
              </w:rPr>
            </w:pPr>
          </w:p>
        </w:tc>
        <w:tc>
          <w:tcPr>
            <w:tcW w:w="108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gridSpan w:val="5"/>
            <w:vMerge w:val="restart"/>
          </w:tcPr>
          <w:p>
            <w:pPr>
              <w:jc w:val="right"/>
              <w:ind w:right="48"/>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5"/>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Paid-in</w:t>
            </w:r>
          </w:p>
        </w:tc>
        <w:tc>
          <w:tcPr>
            <w:tcW w:w="20" w:type="dxa"/>
            <w:vAlign w:val="bottom"/>
          </w:tcPr>
          <w:p>
            <w:pPr>
              <w:spacing w:after="0"/>
              <w:rPr>
                <w:sz w:val="14"/>
                <w:szCs w:val="14"/>
                <w:color w:val="auto"/>
              </w:rPr>
            </w:pPr>
          </w:p>
        </w:tc>
        <w:tc>
          <w:tcPr>
            <w:tcW w:w="116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7"/>
              </w:rPr>
              <w:t>(Accumulated</w:t>
            </w:r>
          </w:p>
        </w:tc>
        <w:tc>
          <w:tcPr>
            <w:tcW w:w="12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9"/>
              </w:rPr>
              <w:t>Comprehensive</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4"/>
          </w:tcPr>
          <w:p>
            <w:pPr>
              <w:ind w:left="20"/>
              <w:spacing w:after="0"/>
              <w:rPr>
                <w:sz w:val="20"/>
                <w:szCs w:val="20"/>
                <w:color w:val="auto"/>
              </w:rPr>
            </w:pPr>
            <w:r>
              <w:rPr>
                <w:rFonts w:ascii="Arial" w:cs="Arial" w:eastAsia="Arial" w:hAnsi="Arial"/>
                <w:sz w:val="14"/>
                <w:szCs w:val="14"/>
                <w:b w:val="1"/>
                <w:bCs w:val="1"/>
                <w:color w:val="auto"/>
              </w:rPr>
              <w:t>Stockholders’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880" w:type="dxa"/>
            <w:vAlign w:val="bottom"/>
            <w:tcBorders>
              <w:bottom w:val="single" w:sz="8" w:color="CFF0FC"/>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82"/>
              <w:spacing w:after="0" w:line="155" w:lineRule="exact"/>
              <w:rPr>
                <w:sz w:val="20"/>
                <w:szCs w:val="20"/>
                <w:color w:val="auto"/>
              </w:rPr>
            </w:pPr>
            <w:r>
              <w:rPr>
                <w:rFonts w:ascii="Arial" w:cs="Arial" w:eastAsia="Arial" w:hAnsi="Arial"/>
                <w:sz w:val="14"/>
                <w:szCs w:val="14"/>
                <w:b w:val="1"/>
                <w:bCs w:val="1"/>
                <w:color w:val="auto"/>
              </w:rPr>
              <w:t>Shares</w:t>
            </w:r>
          </w:p>
        </w:tc>
        <w:tc>
          <w:tcPr>
            <w:tcW w:w="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60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01"/>
              <w:spacing w:after="0" w:line="155" w:lineRule="exact"/>
              <w:rPr>
                <w:sz w:val="20"/>
                <w:szCs w:val="20"/>
                <w:color w:val="auto"/>
              </w:rPr>
            </w:pPr>
            <w:r>
              <w:rPr>
                <w:rFonts w:ascii="Arial" w:cs="Arial" w:eastAsia="Arial" w:hAnsi="Arial"/>
                <w:sz w:val="14"/>
                <w:szCs w:val="14"/>
                <w:b w:val="1"/>
                <w:bCs w:val="1"/>
                <w:color w:val="auto"/>
                <w:w w:val="94"/>
              </w:rPr>
              <w:t>Capital</w:t>
            </w:r>
          </w:p>
        </w:tc>
        <w:tc>
          <w:tcPr>
            <w:tcW w:w="1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201"/>
              <w:spacing w:after="0" w:line="155" w:lineRule="exact"/>
              <w:rPr>
                <w:sz w:val="20"/>
                <w:szCs w:val="20"/>
                <w:color w:val="auto"/>
              </w:rPr>
            </w:pPr>
            <w:r>
              <w:rPr>
                <w:rFonts w:ascii="Arial" w:cs="Arial" w:eastAsia="Arial" w:hAnsi="Arial"/>
                <w:sz w:val="14"/>
                <w:szCs w:val="14"/>
                <w:b w:val="1"/>
                <w:bCs w:val="1"/>
                <w:color w:val="auto"/>
              </w:rPr>
              <w:t>Deficit)</w:t>
            </w:r>
          </w:p>
        </w:tc>
        <w:tc>
          <w:tcPr>
            <w:tcW w:w="160" w:type="dxa"/>
            <w:vAlign w:val="bottom"/>
            <w:tcBorders>
              <w:bottom w:val="single" w:sz="8" w:color="CFF0FC"/>
            </w:tcBorders>
            <w:gridSpan w:val="2"/>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281"/>
              <w:spacing w:after="0" w:line="155" w:lineRule="exact"/>
              <w:rPr>
                <w:sz w:val="20"/>
                <w:szCs w:val="20"/>
                <w:color w:val="auto"/>
              </w:rPr>
            </w:pPr>
            <w:r>
              <w:rPr>
                <w:rFonts w:ascii="Arial" w:cs="Arial" w:eastAsia="Arial" w:hAnsi="Arial"/>
                <w:sz w:val="14"/>
                <w:szCs w:val="14"/>
                <w:b w:val="1"/>
                <w:bCs w:val="1"/>
                <w:color w:val="auto"/>
                <w:w w:val="85"/>
              </w:rPr>
              <w:t>Loss</w:t>
            </w:r>
          </w:p>
        </w:tc>
        <w:tc>
          <w:tcPr>
            <w:tcW w:w="10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3"/>
              </w:rPr>
              <w:t>Equity</w:t>
            </w:r>
          </w:p>
        </w:tc>
        <w:tc>
          <w:tcPr>
            <w:tcW w:w="8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Balance as of June 30, 2020</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84,349</w:t>
            </w:r>
          </w:p>
        </w:tc>
        <w:tc>
          <w:tcPr>
            <w:tcW w:w="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328,588</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8"/>
              <w:spacing w:after="0"/>
              <w:rPr>
                <w:sz w:val="20"/>
                <w:szCs w:val="20"/>
                <w:color w:val="auto"/>
              </w:rPr>
            </w:pPr>
            <w:r>
              <w:rPr>
                <w:rFonts w:ascii="Arial" w:cs="Arial" w:eastAsia="Arial" w:hAnsi="Arial"/>
                <w:sz w:val="16"/>
                <w:szCs w:val="16"/>
                <w:color w:val="auto"/>
                <w:w w:val="89"/>
              </w:rPr>
              <w:t>$</w:t>
            </w: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(82,213)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(5,877)</w:t>
            </w:r>
          </w:p>
        </w:tc>
        <w:tc>
          <w:tcPr>
            <w:tcW w:w="260" w:type="dxa"/>
            <w:vAlign w:val="bottom"/>
            <w:gridSpan w:val="3"/>
            <w:shd w:val="clear" w:color="auto" w:fill="CFF0FC"/>
          </w:tcPr>
          <w:p>
            <w:pPr>
              <w:jc w:val="right"/>
              <w:ind w:right="48"/>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240,506</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140"/>
              <w:spacing w:after="0"/>
              <w:rPr>
                <w:sz w:val="20"/>
                <w:szCs w:val="20"/>
                <w:color w:val="auto"/>
              </w:rPr>
            </w:pPr>
            <w:r>
              <w:rPr>
                <w:rFonts w:ascii="Arial" w:cs="Arial" w:eastAsia="Arial" w:hAnsi="Arial"/>
                <w:sz w:val="18"/>
                <w:szCs w:val="18"/>
                <w:color w:val="auto"/>
              </w:rPr>
              <w:t>Issuance of common stock for stock option exercises</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259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Issuance of common stock upon vesting of restricted</w:t>
            </w:r>
          </w:p>
        </w:tc>
        <w:tc>
          <w:tcPr>
            <w:tcW w:w="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 units</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40" w:type="dxa"/>
            <w:vAlign w:val="bottom"/>
            <w:gridSpan w:val="3"/>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880" w:type="dxa"/>
            <w:vAlign w:val="bottom"/>
          </w:tcPr>
          <w:p>
            <w:pPr>
              <w:ind w:left="140"/>
              <w:spacing w:after="0"/>
              <w:rPr>
                <w:sz w:val="20"/>
                <w:szCs w:val="20"/>
                <w:color w:val="auto"/>
              </w:rPr>
            </w:pPr>
            <w:r>
              <w:rPr>
                <w:rFonts w:ascii="Arial" w:cs="Arial" w:eastAsia="Arial" w:hAnsi="Arial"/>
                <w:sz w:val="18"/>
                <w:szCs w:val="18"/>
                <w:color w:val="auto"/>
              </w:rPr>
              <w:t>Issuance of common stock upon initial public</w:t>
            </w: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260"/>
              <w:spacing w:after="0"/>
              <w:rPr>
                <w:sz w:val="20"/>
                <w:szCs w:val="20"/>
                <w:color w:val="auto"/>
              </w:rPr>
            </w:pPr>
            <w:r>
              <w:rPr>
                <w:rFonts w:ascii="Arial" w:cs="Arial" w:eastAsia="Arial" w:hAnsi="Arial"/>
                <w:sz w:val="18"/>
                <w:szCs w:val="18"/>
                <w:color w:val="auto"/>
              </w:rPr>
              <w:t>offering, net of underwriting discounts and</w:t>
            </w: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commissions and other offering costs</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7,500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106,729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106,730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Stock-based compensation</w:t>
            </w:r>
          </w:p>
        </w:tc>
        <w:tc>
          <w:tcPr>
            <w:tcW w:w="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40" w:type="dxa"/>
            <w:vAlign w:val="bottom"/>
            <w:gridSpan w:val="3"/>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1,631</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1,631</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140"/>
              <w:spacing w:after="0"/>
              <w:rPr>
                <w:sz w:val="20"/>
                <w:szCs w:val="20"/>
                <w:color w:val="auto"/>
              </w:rPr>
            </w:pPr>
            <w:r>
              <w:rPr>
                <w:rFonts w:ascii="Arial" w:cs="Arial" w:eastAsia="Arial" w:hAnsi="Arial"/>
                <w:sz w:val="18"/>
                <w:szCs w:val="18"/>
                <w:color w:val="auto"/>
              </w:rPr>
              <w:t>Other comprehensive income</w:t>
            </w:r>
          </w:p>
        </w:tc>
        <w:tc>
          <w:tcPr>
            <w:tcW w:w="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3,069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3,069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income</w:t>
            </w:r>
          </w:p>
        </w:tc>
        <w:tc>
          <w:tcPr>
            <w:tcW w:w="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36,357</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36,357</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color w:val="auto"/>
              </w:rPr>
              <w:t>Balance as of September 30, 2020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91,914</w:t>
            </w:r>
          </w:p>
        </w:tc>
        <w:tc>
          <w:tcPr>
            <w:tcW w:w="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437,207</w:t>
            </w:r>
          </w:p>
        </w:tc>
        <w:tc>
          <w:tcPr>
            <w:tcW w:w="140" w:type="dxa"/>
            <w:vAlign w:val="bottom"/>
          </w:tcPr>
          <w:p>
            <w:pPr>
              <w:spacing w:after="0"/>
              <w:rPr>
                <w:sz w:val="19"/>
                <w:szCs w:val="19"/>
                <w:color w:val="auto"/>
              </w:rPr>
            </w:pPr>
          </w:p>
        </w:tc>
        <w:tc>
          <w:tcPr>
            <w:tcW w:w="220" w:type="dxa"/>
            <w:vAlign w:val="bottom"/>
            <w:gridSpan w:val="2"/>
          </w:tcPr>
          <w:p>
            <w:pPr>
              <w:jc w:val="right"/>
              <w:ind w:right="48"/>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(45,856)</w:t>
            </w:r>
          </w:p>
        </w:tc>
        <w:tc>
          <w:tcPr>
            <w:tcW w:w="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(2,808)</w:t>
            </w:r>
          </w:p>
        </w:tc>
        <w:tc>
          <w:tcPr>
            <w:tcW w:w="260" w:type="dxa"/>
            <w:vAlign w:val="bottom"/>
            <w:gridSpan w:val="3"/>
          </w:tcPr>
          <w:p>
            <w:pPr>
              <w:jc w:val="right"/>
              <w:ind w:right="48"/>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388,552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12"/>
          </w:tcPr>
          <w:p>
            <w:pPr>
              <w:spacing w:after="0"/>
              <w:rPr>
                <w:sz w:val="20"/>
                <w:szCs w:val="20"/>
                <w:color w:val="auto"/>
              </w:rPr>
            </w:pPr>
            <w:r>
              <w:rPr>
                <w:rFonts w:ascii="Arial" w:cs="Arial" w:eastAsia="Arial" w:hAnsi="Arial"/>
                <w:sz w:val="14"/>
                <w:szCs w:val="14"/>
                <w:b w:val="1"/>
                <w:bCs w:val="1"/>
                <w:color w:val="auto"/>
                <w:w w:val="91"/>
              </w:rPr>
              <w:t>Three months ended September 30, 2019</w:t>
            </w: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3"/>
          </w:tcPr>
          <w:p>
            <w:pPr>
              <w:jc w:val="center"/>
              <w:ind w:right="200"/>
              <w:spacing w:after="0" w:line="133" w:lineRule="exact"/>
              <w:rPr>
                <w:sz w:val="20"/>
                <w:szCs w:val="20"/>
                <w:color w:val="auto"/>
              </w:rPr>
            </w:pPr>
            <w:r>
              <w:rPr>
                <w:rFonts w:ascii="Arial" w:cs="Arial" w:eastAsia="Arial" w:hAnsi="Arial"/>
                <w:sz w:val="14"/>
                <w:szCs w:val="14"/>
                <w:b w:val="1"/>
                <w:bCs w:val="1"/>
                <w:color w:val="auto"/>
                <w:w w:val="94"/>
              </w:rPr>
              <w:t>Retained</w:t>
            </w:r>
          </w:p>
        </w:tc>
        <w:tc>
          <w:tcPr>
            <w:tcW w:w="140" w:type="dxa"/>
            <w:vAlign w:val="bottom"/>
          </w:tcPr>
          <w:p>
            <w:pPr>
              <w:spacing w:after="0"/>
              <w:rPr>
                <w:sz w:val="11"/>
                <w:szCs w:val="11"/>
                <w:color w:val="auto"/>
              </w:rPr>
            </w:pPr>
          </w:p>
        </w:tc>
        <w:tc>
          <w:tcPr>
            <w:tcW w:w="1080" w:type="dxa"/>
            <w:vAlign w:val="bottom"/>
            <w:gridSpan w:val="3"/>
          </w:tcPr>
          <w:p>
            <w:pPr>
              <w:jc w:val="center"/>
              <w:ind w:right="120"/>
              <w:spacing w:after="0" w:line="133" w:lineRule="exact"/>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gridSpan w:val="5"/>
            <w:vMerge w:val="restart"/>
          </w:tcPr>
          <w:p>
            <w:pPr>
              <w:jc w:val="right"/>
              <w:ind w:right="8"/>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0" w:type="dxa"/>
            <w:vAlign w:val="bottom"/>
            <w:tcBorders>
              <w:bottom w:val="single" w:sz="8" w:color="auto"/>
            </w:tcBorders>
            <w:gridSpan w:val="5"/>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Paid-in</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Comprehensive</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4"/>
          </w:tcPr>
          <w:p>
            <w:pPr>
              <w:ind w:left="20"/>
              <w:spacing w:after="0"/>
              <w:rPr>
                <w:sz w:val="20"/>
                <w:szCs w:val="20"/>
                <w:color w:val="auto"/>
              </w:rPr>
            </w:pPr>
            <w:r>
              <w:rPr>
                <w:rFonts w:ascii="Arial" w:cs="Arial" w:eastAsia="Arial" w:hAnsi="Arial"/>
                <w:sz w:val="14"/>
                <w:szCs w:val="14"/>
                <w:b w:val="1"/>
                <w:bCs w:val="1"/>
                <w:color w:val="auto"/>
              </w:rPr>
              <w:t>Stockholders’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8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center"/>
              <w:ind w:right="80"/>
              <w:spacing w:after="0" w:line="155" w:lineRule="exact"/>
              <w:rPr>
                <w:sz w:val="20"/>
                <w:szCs w:val="20"/>
                <w:color w:val="auto"/>
              </w:rPr>
            </w:pPr>
            <w:r>
              <w:rPr>
                <w:rFonts w:ascii="Arial" w:cs="Arial" w:eastAsia="Arial" w:hAnsi="Arial"/>
                <w:sz w:val="14"/>
                <w:szCs w:val="14"/>
                <w:b w:val="1"/>
                <w:bCs w:val="1"/>
                <w:color w:val="auto"/>
                <w:w w:val="98"/>
              </w:rPr>
              <w:t>Capital</w:t>
            </w:r>
          </w:p>
        </w:tc>
        <w:tc>
          <w:tcPr>
            <w:tcW w:w="2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w w:val="92"/>
              </w:rPr>
              <w:t>Deficit)</w:t>
            </w:r>
          </w:p>
        </w:tc>
        <w:tc>
          <w:tcPr>
            <w:tcW w:w="8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161"/>
              <w:spacing w:after="0" w:line="155" w:lineRule="exact"/>
              <w:rPr>
                <w:sz w:val="20"/>
                <w:szCs w:val="20"/>
                <w:color w:val="auto"/>
              </w:rPr>
            </w:pPr>
            <w:r>
              <w:rPr>
                <w:rFonts w:ascii="Arial" w:cs="Arial" w:eastAsia="Arial" w:hAnsi="Arial"/>
                <w:sz w:val="14"/>
                <w:szCs w:val="14"/>
                <w:b w:val="1"/>
                <w:bCs w:val="1"/>
                <w:color w:val="auto"/>
                <w:w w:val="85"/>
              </w:rPr>
              <w:t>Loss</w:t>
            </w:r>
          </w:p>
        </w:tc>
        <w:tc>
          <w:tcPr>
            <w:tcW w:w="10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81"/>
              <w:spacing w:after="0" w:line="155" w:lineRule="exact"/>
              <w:rPr>
                <w:sz w:val="20"/>
                <w:szCs w:val="20"/>
                <w:color w:val="auto"/>
              </w:rPr>
            </w:pPr>
            <w:r>
              <w:rPr>
                <w:rFonts w:ascii="Arial" w:cs="Arial" w:eastAsia="Arial" w:hAnsi="Arial"/>
                <w:sz w:val="14"/>
                <w:szCs w:val="14"/>
                <w:b w:val="1"/>
                <w:bCs w:val="1"/>
                <w:color w:val="auto"/>
                <w:w w:val="98"/>
              </w:rPr>
              <w:t>Equity</w:t>
            </w:r>
          </w:p>
        </w:tc>
        <w:tc>
          <w:tcPr>
            <w:tcW w:w="120" w:type="dxa"/>
            <w:vAlign w:val="bottom"/>
            <w:tcBorders>
              <w:bottom w:val="single" w:sz="8" w:color="CFF0FC"/>
            </w:tcBorders>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Balance as of June 30, 2019</w:t>
            </w:r>
          </w:p>
        </w:tc>
        <w:tc>
          <w:tcPr>
            <w:tcW w:w="96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75,815</w:t>
            </w:r>
          </w:p>
        </w:tc>
        <w:tc>
          <w:tcPr>
            <w:tcW w:w="480" w:type="dxa"/>
            <w:vAlign w:val="bottom"/>
            <w:gridSpan w:val="3"/>
            <w:shd w:val="clear" w:color="auto" w:fill="CFF0FC"/>
          </w:tcPr>
          <w:p>
            <w:pPr>
              <w:jc w:val="right"/>
              <w:ind w:right="108"/>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ind w:left="10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258,954</w:t>
            </w:r>
          </w:p>
        </w:tc>
        <w:tc>
          <w:tcPr>
            <w:tcW w:w="340" w:type="dxa"/>
            <w:vAlign w:val="bottom"/>
            <w:gridSpan w:val="3"/>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84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(113,046)</w:t>
            </w:r>
          </w:p>
        </w:tc>
        <w:tc>
          <w:tcPr>
            <w:tcW w:w="36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(2,403)</w:t>
            </w:r>
          </w:p>
        </w:tc>
        <w:tc>
          <w:tcPr>
            <w:tcW w:w="260" w:type="dxa"/>
            <w:vAlign w:val="bottom"/>
            <w:gridSpan w:val="3"/>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143,513</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140"/>
              <w:spacing w:after="0"/>
              <w:rPr>
                <w:sz w:val="20"/>
                <w:szCs w:val="20"/>
                <w:color w:val="auto"/>
              </w:rPr>
            </w:pPr>
            <w:r>
              <w:rPr>
                <w:rFonts w:ascii="Arial" w:cs="Arial" w:eastAsia="Arial" w:hAnsi="Arial"/>
                <w:sz w:val="18"/>
                <w:szCs w:val="18"/>
                <w:color w:val="auto"/>
              </w:rPr>
              <w:t>Issuance of common stock in relation to acquisitions</w:t>
            </w:r>
          </w:p>
        </w:tc>
        <w:tc>
          <w:tcPr>
            <w:tcW w:w="960" w:type="dxa"/>
            <w:vAlign w:val="bottom"/>
            <w:gridSpan w:val="3"/>
          </w:tcPr>
          <w:p>
            <w:pPr>
              <w:jc w:val="right"/>
              <w:ind w:right="20"/>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2,000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Issuance of common stock for stock option exercises</w:t>
            </w:r>
          </w:p>
        </w:tc>
        <w:tc>
          <w:tcPr>
            <w:tcW w:w="96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4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53</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867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867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comprehensive loss</w:t>
            </w:r>
          </w:p>
        </w:tc>
        <w:tc>
          <w:tcPr>
            <w:tcW w:w="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4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(736)</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(736)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Net income</w:t>
            </w:r>
          </w:p>
        </w:tc>
        <w:tc>
          <w:tcPr>
            <w:tcW w:w="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1,519</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1,519</w:t>
            </w:r>
          </w:p>
        </w:tc>
        <w:tc>
          <w:tcPr>
            <w:tcW w:w="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Balance as of September 30, 2019</w:t>
            </w:r>
          </w:p>
        </w:tc>
        <w:tc>
          <w:tcPr>
            <w:tcW w:w="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76,089</w:t>
            </w:r>
          </w:p>
        </w:tc>
        <w:tc>
          <w:tcPr>
            <w:tcW w:w="480" w:type="dxa"/>
            <w:vAlign w:val="bottom"/>
            <w:gridSpan w:val="3"/>
            <w:shd w:val="clear" w:color="auto" w:fill="CFF0FC"/>
          </w:tcPr>
          <w:p>
            <w:pPr>
              <w:jc w:val="right"/>
              <w:ind w:right="108"/>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ind w:left="10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261,874</w:t>
            </w:r>
          </w:p>
        </w:tc>
        <w:tc>
          <w:tcPr>
            <w:tcW w:w="340" w:type="dxa"/>
            <w:vAlign w:val="bottom"/>
            <w:gridSpan w:val="3"/>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84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(111,527)</w:t>
            </w:r>
          </w:p>
        </w:tc>
        <w:tc>
          <w:tcPr>
            <w:tcW w:w="36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(3,139)</w:t>
            </w:r>
          </w:p>
        </w:tc>
        <w:tc>
          <w:tcPr>
            <w:tcW w:w="260" w:type="dxa"/>
            <w:vAlign w:val="bottom"/>
            <w:gridSpan w:val="3"/>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147,216</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gridSpan w:val="3"/>
          </w:tcPr>
          <w:p>
            <w:pPr>
              <w:spacing w:after="0" w:line="20" w:lineRule="exact"/>
              <w:rPr>
                <w:sz w:val="1"/>
                <w:szCs w:val="1"/>
                <w:color w:val="auto"/>
              </w:rPr>
            </w:pPr>
          </w:p>
        </w:tc>
        <w:tc>
          <w:tcPr>
            <w:tcW w:w="220" w:type="dxa"/>
            <w:vAlign w:val="bottom"/>
            <w:tcBorders>
              <w:top w:val="single" w:sz="8" w:color="CFF0FC"/>
            </w:tcBorders>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3"/>
          </w:tcPr>
          <w:p>
            <w:pPr>
              <w:spacing w:after="0" w:line="20" w:lineRule="exact"/>
              <w:rPr>
                <w:sz w:val="1"/>
                <w:szCs w:val="1"/>
                <w:color w:val="auto"/>
              </w:rPr>
            </w:pPr>
          </w:p>
        </w:tc>
        <w:tc>
          <w:tcPr>
            <w:tcW w:w="220" w:type="dxa"/>
            <w:vAlign w:val="bottom"/>
            <w:tcBorders>
              <w:top w:val="single" w:sz="8" w:color="CFF0FC"/>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4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12"/>
          </w:tcPr>
          <w:p>
            <w:pPr>
              <w:ind w:left="40"/>
              <w:spacing w:after="0"/>
              <w:rPr>
                <w:sz w:val="20"/>
                <w:szCs w:val="20"/>
                <w:color w:val="auto"/>
              </w:rPr>
            </w:pPr>
            <w:r>
              <w:rPr>
                <w:rFonts w:ascii="Arial" w:cs="Arial" w:eastAsia="Arial" w:hAnsi="Arial"/>
                <w:sz w:val="14"/>
                <w:szCs w:val="14"/>
                <w:b w:val="1"/>
                <w:bCs w:val="1"/>
                <w:color w:val="auto"/>
                <w:w w:val="92"/>
              </w:rPr>
              <w:t>Nine months ended September 30, 2020</w:t>
            </w: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3"/>
          </w:tcPr>
          <w:p>
            <w:pPr>
              <w:jc w:val="center"/>
              <w:ind w:right="200"/>
              <w:spacing w:after="0" w:line="133" w:lineRule="exact"/>
              <w:rPr>
                <w:sz w:val="20"/>
                <w:szCs w:val="20"/>
                <w:color w:val="auto"/>
              </w:rPr>
            </w:pPr>
            <w:r>
              <w:rPr>
                <w:rFonts w:ascii="Arial" w:cs="Arial" w:eastAsia="Arial" w:hAnsi="Arial"/>
                <w:sz w:val="14"/>
                <w:szCs w:val="14"/>
                <w:b w:val="1"/>
                <w:bCs w:val="1"/>
                <w:color w:val="auto"/>
                <w:w w:val="94"/>
              </w:rPr>
              <w:t>Retained</w:t>
            </w:r>
          </w:p>
        </w:tc>
        <w:tc>
          <w:tcPr>
            <w:tcW w:w="140" w:type="dxa"/>
            <w:vAlign w:val="bottom"/>
          </w:tcPr>
          <w:p>
            <w:pPr>
              <w:spacing w:after="0"/>
              <w:rPr>
                <w:sz w:val="11"/>
                <w:szCs w:val="11"/>
                <w:color w:val="auto"/>
              </w:rPr>
            </w:pPr>
          </w:p>
        </w:tc>
        <w:tc>
          <w:tcPr>
            <w:tcW w:w="1080" w:type="dxa"/>
            <w:vAlign w:val="bottom"/>
            <w:gridSpan w:val="3"/>
          </w:tcPr>
          <w:p>
            <w:pPr>
              <w:jc w:val="center"/>
              <w:ind w:right="120"/>
              <w:spacing w:after="0" w:line="133" w:lineRule="exact"/>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gridSpan w:val="5"/>
            <w:vMerge w:val="restart"/>
          </w:tcPr>
          <w:p>
            <w:pPr>
              <w:jc w:val="right"/>
              <w:ind w:right="8"/>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0" w:type="dxa"/>
            <w:vAlign w:val="bottom"/>
            <w:tcBorders>
              <w:bottom w:val="single" w:sz="8" w:color="auto"/>
            </w:tcBorders>
            <w:gridSpan w:val="5"/>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Paid-in</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Comprehensive</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4"/>
          </w:tcPr>
          <w:p>
            <w:pPr>
              <w:ind w:left="20"/>
              <w:spacing w:after="0"/>
              <w:rPr>
                <w:sz w:val="20"/>
                <w:szCs w:val="20"/>
                <w:color w:val="auto"/>
              </w:rPr>
            </w:pPr>
            <w:r>
              <w:rPr>
                <w:rFonts w:ascii="Arial" w:cs="Arial" w:eastAsia="Arial" w:hAnsi="Arial"/>
                <w:sz w:val="14"/>
                <w:szCs w:val="14"/>
                <w:b w:val="1"/>
                <w:bCs w:val="1"/>
                <w:color w:val="auto"/>
              </w:rPr>
              <w:t>Stockholders’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88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center"/>
              <w:ind w:right="80"/>
              <w:spacing w:after="0" w:line="155" w:lineRule="exact"/>
              <w:rPr>
                <w:sz w:val="20"/>
                <w:szCs w:val="20"/>
                <w:color w:val="auto"/>
              </w:rPr>
            </w:pPr>
            <w:r>
              <w:rPr>
                <w:rFonts w:ascii="Arial" w:cs="Arial" w:eastAsia="Arial" w:hAnsi="Arial"/>
                <w:sz w:val="14"/>
                <w:szCs w:val="14"/>
                <w:b w:val="1"/>
                <w:bCs w:val="1"/>
                <w:color w:val="auto"/>
                <w:w w:val="98"/>
              </w:rPr>
              <w:t>Capital</w:t>
            </w:r>
          </w:p>
        </w:tc>
        <w:tc>
          <w:tcPr>
            <w:tcW w:w="2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w w:val="92"/>
              </w:rPr>
              <w:t>Deficit)</w:t>
            </w:r>
          </w:p>
        </w:tc>
        <w:tc>
          <w:tcPr>
            <w:tcW w:w="8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161"/>
              <w:spacing w:after="0" w:line="155" w:lineRule="exact"/>
              <w:rPr>
                <w:sz w:val="20"/>
                <w:szCs w:val="20"/>
                <w:color w:val="auto"/>
              </w:rPr>
            </w:pPr>
            <w:r>
              <w:rPr>
                <w:rFonts w:ascii="Arial" w:cs="Arial" w:eastAsia="Arial" w:hAnsi="Arial"/>
                <w:sz w:val="14"/>
                <w:szCs w:val="14"/>
                <w:b w:val="1"/>
                <w:bCs w:val="1"/>
                <w:color w:val="auto"/>
                <w:w w:val="85"/>
              </w:rPr>
              <w:t>Loss</w:t>
            </w:r>
          </w:p>
        </w:tc>
        <w:tc>
          <w:tcPr>
            <w:tcW w:w="10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81"/>
              <w:spacing w:after="0" w:line="155" w:lineRule="exact"/>
              <w:rPr>
                <w:sz w:val="20"/>
                <w:szCs w:val="20"/>
                <w:color w:val="auto"/>
              </w:rPr>
            </w:pPr>
            <w:r>
              <w:rPr>
                <w:rFonts w:ascii="Arial" w:cs="Arial" w:eastAsia="Arial" w:hAnsi="Arial"/>
                <w:sz w:val="14"/>
                <w:szCs w:val="14"/>
                <w:b w:val="1"/>
                <w:bCs w:val="1"/>
                <w:color w:val="auto"/>
                <w:w w:val="98"/>
              </w:rPr>
              <w:t>Equity</w:t>
            </w:r>
          </w:p>
        </w:tc>
        <w:tc>
          <w:tcPr>
            <w:tcW w:w="120" w:type="dxa"/>
            <w:vAlign w:val="bottom"/>
            <w:tcBorders>
              <w:bottom w:val="single" w:sz="8" w:color="CFF0FC"/>
            </w:tcBorders>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2019</w:t>
            </w:r>
          </w:p>
        </w:tc>
        <w:tc>
          <w:tcPr>
            <w:tcW w:w="96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84,079</w:t>
            </w:r>
          </w:p>
        </w:tc>
        <w:tc>
          <w:tcPr>
            <w:tcW w:w="480" w:type="dxa"/>
            <w:vAlign w:val="bottom"/>
            <w:gridSpan w:val="3"/>
            <w:shd w:val="clear" w:color="auto" w:fill="CFF0FC"/>
          </w:tcPr>
          <w:p>
            <w:pPr>
              <w:jc w:val="right"/>
              <w:ind w:right="108"/>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ind w:left="10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324,968</w:t>
            </w:r>
          </w:p>
        </w:tc>
        <w:tc>
          <w:tcPr>
            <w:tcW w:w="340" w:type="dxa"/>
            <w:vAlign w:val="bottom"/>
            <w:gridSpan w:val="3"/>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84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(106,030)</w:t>
            </w:r>
          </w:p>
        </w:tc>
        <w:tc>
          <w:tcPr>
            <w:tcW w:w="36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(2,171)</w:t>
            </w:r>
          </w:p>
        </w:tc>
        <w:tc>
          <w:tcPr>
            <w:tcW w:w="260" w:type="dxa"/>
            <w:vAlign w:val="bottom"/>
            <w:gridSpan w:val="3"/>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216,775</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140"/>
              <w:spacing w:after="0"/>
              <w:rPr>
                <w:sz w:val="20"/>
                <w:szCs w:val="20"/>
                <w:color w:val="auto"/>
              </w:rPr>
            </w:pPr>
            <w:r>
              <w:rPr>
                <w:rFonts w:ascii="Arial" w:cs="Arial" w:eastAsia="Arial" w:hAnsi="Arial"/>
                <w:sz w:val="18"/>
                <w:szCs w:val="18"/>
                <w:color w:val="auto"/>
              </w:rPr>
              <w:t>Issuance of common stock to directors</w:t>
            </w:r>
          </w:p>
        </w:tc>
        <w:tc>
          <w:tcPr>
            <w:tcW w:w="960" w:type="dxa"/>
            <w:vAlign w:val="bottom"/>
            <w:gridSpan w:val="3"/>
          </w:tcPr>
          <w:p>
            <w:pPr>
              <w:jc w:val="right"/>
              <w:ind w:right="20"/>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Issuance of common stock for stock option exercises</w:t>
            </w:r>
          </w:p>
        </w:tc>
        <w:tc>
          <w:tcPr>
            <w:tcW w:w="96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306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4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1,224</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1,224</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880" w:type="dxa"/>
            <w:vAlign w:val="bottom"/>
          </w:tcPr>
          <w:p>
            <w:pPr>
              <w:ind w:left="140"/>
              <w:spacing w:after="0"/>
              <w:rPr>
                <w:sz w:val="20"/>
                <w:szCs w:val="20"/>
                <w:color w:val="auto"/>
              </w:rPr>
            </w:pPr>
            <w:r>
              <w:rPr>
                <w:rFonts w:ascii="Arial" w:cs="Arial" w:eastAsia="Arial" w:hAnsi="Arial"/>
                <w:sz w:val="18"/>
                <w:szCs w:val="18"/>
                <w:color w:val="auto"/>
              </w:rPr>
              <w:t>Issuance of common stock upon vesting of restricted</w:t>
            </w: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stock units</w:t>
            </w:r>
          </w:p>
        </w:tc>
        <w:tc>
          <w:tcPr>
            <w:tcW w:w="960" w:type="dxa"/>
            <w:vAlign w:val="bottom"/>
            <w:gridSpan w:val="3"/>
          </w:tcPr>
          <w:p>
            <w:pPr>
              <w:jc w:val="right"/>
              <w:ind w:right="20"/>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Issuance of common stock upon initial public</w:t>
            </w:r>
          </w:p>
        </w:tc>
        <w:tc>
          <w:tcPr>
            <w:tcW w:w="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offering, net of underwriting discounts and</w:t>
            </w:r>
          </w:p>
        </w:tc>
        <w:tc>
          <w:tcPr>
            <w:tcW w:w="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commissions and other offering costs</w:t>
            </w:r>
          </w:p>
        </w:tc>
        <w:tc>
          <w:tcPr>
            <w:tcW w:w="96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7,500</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106,729</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106,730</w:t>
            </w: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4,286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4,286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comprehensive loss</w:t>
            </w:r>
          </w:p>
        </w:tc>
        <w:tc>
          <w:tcPr>
            <w:tcW w:w="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4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(637)</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(637)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Net income</w:t>
            </w:r>
          </w:p>
        </w:tc>
        <w:tc>
          <w:tcPr>
            <w:tcW w:w="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60,174</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60,174</w:t>
            </w:r>
          </w:p>
        </w:tc>
        <w:tc>
          <w:tcPr>
            <w:tcW w:w="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Balance as of September 30, 2020</w:t>
            </w:r>
          </w:p>
        </w:tc>
        <w:tc>
          <w:tcPr>
            <w:tcW w:w="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91,914</w:t>
            </w:r>
          </w:p>
        </w:tc>
        <w:tc>
          <w:tcPr>
            <w:tcW w:w="480" w:type="dxa"/>
            <w:vAlign w:val="bottom"/>
            <w:gridSpan w:val="3"/>
            <w:shd w:val="clear" w:color="auto" w:fill="CFF0FC"/>
          </w:tcPr>
          <w:p>
            <w:pPr>
              <w:jc w:val="right"/>
              <w:ind w:right="108"/>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ind w:left="10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437,207</w:t>
            </w:r>
          </w:p>
        </w:tc>
        <w:tc>
          <w:tcPr>
            <w:tcW w:w="340" w:type="dxa"/>
            <w:vAlign w:val="bottom"/>
            <w:gridSpan w:val="3"/>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84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(45,856)</w:t>
            </w:r>
          </w:p>
        </w:tc>
        <w:tc>
          <w:tcPr>
            <w:tcW w:w="36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(2,808)</w:t>
            </w:r>
          </w:p>
        </w:tc>
        <w:tc>
          <w:tcPr>
            <w:tcW w:w="260" w:type="dxa"/>
            <w:vAlign w:val="bottom"/>
            <w:gridSpan w:val="3"/>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388,552</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4880" w:type="dxa"/>
            <w:vAlign w:val="bottom"/>
          </w:tcPr>
          <w:p>
            <w:pPr>
              <w:spacing w:after="0"/>
              <w:rPr>
                <w:sz w:val="24"/>
                <w:szCs w:val="24"/>
                <w:color w:val="auto"/>
              </w:rPr>
            </w:pPr>
          </w:p>
        </w:tc>
        <w:tc>
          <w:tcPr>
            <w:tcW w:w="900" w:type="dxa"/>
            <w:vAlign w:val="bottom"/>
            <w:gridSpan w:val="2"/>
          </w:tcPr>
          <w:p>
            <w:pPr>
              <w:jc w:val="right"/>
              <w:ind w:right="42"/>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w w:val="96"/>
              </w:rPr>
              <w:t>Nine months ended September 30, 2019</w:t>
            </w: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1"/>
                <w:szCs w:val="11"/>
                <w:color w:val="auto"/>
              </w:rPr>
            </w:pPr>
          </w:p>
        </w:tc>
        <w:tc>
          <w:tcPr>
            <w:tcW w:w="9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4"/>
              </w:rPr>
              <w:t>Retained</w:t>
            </w:r>
          </w:p>
        </w:tc>
        <w:tc>
          <w:tcPr>
            <w:tcW w:w="80" w:type="dxa"/>
            <w:vAlign w:val="bottom"/>
          </w:tcPr>
          <w:p>
            <w:pPr>
              <w:spacing w:after="0"/>
              <w:rPr>
                <w:sz w:val="11"/>
                <w:szCs w:val="11"/>
                <w:color w:val="auto"/>
              </w:rPr>
            </w:pPr>
          </w:p>
        </w:tc>
        <w:tc>
          <w:tcPr>
            <w:tcW w:w="1100" w:type="dxa"/>
            <w:vAlign w:val="bottom"/>
            <w:gridSpan w:val="3"/>
          </w:tcPr>
          <w:p>
            <w:pPr>
              <w:jc w:val="center"/>
              <w:ind w:right="140"/>
              <w:spacing w:after="0" w:line="133" w:lineRule="exact"/>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440" w:type="dxa"/>
            <w:vAlign w:val="bottom"/>
            <w:gridSpan w:val="3"/>
            <w:vMerge w:val="restart"/>
          </w:tcPr>
          <w:p>
            <w:pPr>
              <w:jc w:val="right"/>
              <w:ind w:right="45"/>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Earnings</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20" w:type="dxa"/>
            <w:vAlign w:val="bottom"/>
          </w:tcPr>
          <w:p>
            <w:pPr>
              <w:spacing w:after="0"/>
              <w:rPr>
                <w:sz w:val="14"/>
                <w:szCs w:val="14"/>
                <w:color w:val="auto"/>
              </w:rPr>
            </w:pPr>
          </w:p>
        </w:tc>
        <w:tc>
          <w:tcPr>
            <w:tcW w:w="1440" w:type="dxa"/>
            <w:vAlign w:val="bottom"/>
            <w:tcBorders>
              <w:bottom w:val="single" w:sz="8" w:color="auto"/>
            </w:tcBorders>
            <w:gridSpan w:val="3"/>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Paid-in</w:t>
            </w:r>
          </w:p>
        </w:tc>
        <w:tc>
          <w:tcPr>
            <w:tcW w:w="10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(Accumulated</w:t>
            </w:r>
          </w:p>
        </w:tc>
        <w:tc>
          <w:tcPr>
            <w:tcW w:w="80" w:type="dxa"/>
            <w:vAlign w:val="bottom"/>
          </w:tcPr>
          <w:p>
            <w:pPr>
              <w:spacing w:after="0"/>
              <w:rPr>
                <w:sz w:val="14"/>
                <w:szCs w:val="14"/>
                <w:color w:val="auto"/>
              </w:rPr>
            </w:pPr>
          </w:p>
        </w:tc>
        <w:tc>
          <w:tcPr>
            <w:tcW w:w="11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492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right"/>
              <w:ind w:right="181"/>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8"/>
              </w:rPr>
              <w:t>Amount</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21"/>
              <w:spacing w:after="0" w:line="155" w:lineRule="exact"/>
              <w:rPr>
                <w:sz w:val="20"/>
                <w:szCs w:val="20"/>
                <w:color w:val="auto"/>
              </w:rPr>
            </w:pPr>
            <w:r>
              <w:rPr>
                <w:rFonts w:ascii="Arial" w:cs="Arial" w:eastAsia="Arial" w:hAnsi="Arial"/>
                <w:sz w:val="14"/>
                <w:szCs w:val="14"/>
                <w:b w:val="1"/>
                <w:bCs w:val="1"/>
                <w:color w:val="auto"/>
              </w:rPr>
              <w:t>Capital</w:t>
            </w: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41"/>
              <w:spacing w:after="0" w:line="155" w:lineRule="exact"/>
              <w:rPr>
                <w:sz w:val="20"/>
                <w:szCs w:val="20"/>
                <w:color w:val="auto"/>
              </w:rPr>
            </w:pPr>
            <w:r>
              <w:rPr>
                <w:rFonts w:ascii="Arial" w:cs="Arial" w:eastAsia="Arial" w:hAnsi="Arial"/>
                <w:sz w:val="14"/>
                <w:szCs w:val="14"/>
                <w:b w:val="1"/>
                <w:bCs w:val="1"/>
                <w:color w:val="auto"/>
                <w:w w:val="92"/>
              </w:rPr>
              <w:t>Deficit)</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181"/>
              <w:spacing w:after="0" w:line="155" w:lineRule="exact"/>
              <w:rPr>
                <w:sz w:val="20"/>
                <w:szCs w:val="20"/>
                <w:color w:val="auto"/>
              </w:rPr>
            </w:pPr>
            <w:r>
              <w:rPr>
                <w:rFonts w:ascii="Arial" w:cs="Arial" w:eastAsia="Arial" w:hAnsi="Arial"/>
                <w:sz w:val="14"/>
                <w:szCs w:val="14"/>
                <w:b w:val="1"/>
                <w:bCs w:val="1"/>
                <w:color w:val="auto"/>
                <w:w w:val="85"/>
              </w:rPr>
              <w:t>Loss</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61"/>
              <w:spacing w:after="0" w:line="155" w:lineRule="exact"/>
              <w:rPr>
                <w:sz w:val="20"/>
                <w:szCs w:val="20"/>
                <w:color w:val="auto"/>
              </w:rPr>
            </w:pPr>
            <w:r>
              <w:rPr>
                <w:rFonts w:ascii="Arial" w:cs="Arial" w:eastAsia="Arial" w:hAnsi="Arial"/>
                <w:sz w:val="14"/>
                <w:szCs w:val="14"/>
                <w:b w:val="1"/>
                <w:bCs w:val="1"/>
                <w:color w:val="auto"/>
              </w:rPr>
              <w:t>Equity</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2018</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75,896</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258,238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(93,161)</w:t>
            </w:r>
          </w:p>
        </w:tc>
        <w:tc>
          <w:tcPr>
            <w:tcW w:w="320" w:type="dxa"/>
            <w:vAlign w:val="bottom"/>
            <w:gridSpan w:val="2"/>
            <w:shd w:val="clear" w:color="auto" w:fill="CFF0FC"/>
          </w:tcPr>
          <w:p>
            <w:pPr>
              <w:jc w:val="right"/>
              <w:ind w:right="88"/>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(2,383)</w:t>
            </w: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162,702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920" w:type="dxa"/>
            <w:vAlign w:val="bottom"/>
          </w:tcPr>
          <w:p>
            <w:pPr>
              <w:ind w:left="140"/>
              <w:spacing w:after="0"/>
              <w:rPr>
                <w:sz w:val="20"/>
                <w:szCs w:val="20"/>
                <w:color w:val="auto"/>
              </w:rPr>
            </w:pPr>
            <w:r>
              <w:rPr>
                <w:rFonts w:ascii="Arial" w:cs="Arial" w:eastAsia="Arial" w:hAnsi="Arial"/>
                <w:sz w:val="18"/>
                <w:szCs w:val="18"/>
                <w:color w:val="auto"/>
              </w:rPr>
              <w:t>Cumulative effect of adoption of new accounting</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60"/>
              <w:spacing w:after="0"/>
              <w:rPr>
                <w:sz w:val="20"/>
                <w:szCs w:val="20"/>
                <w:color w:val="auto"/>
              </w:rPr>
            </w:pPr>
            <w:r>
              <w:rPr>
                <w:rFonts w:ascii="Arial" w:cs="Arial" w:eastAsia="Arial" w:hAnsi="Arial"/>
                <w:sz w:val="18"/>
                <w:szCs w:val="18"/>
                <w:color w:val="auto"/>
              </w:rPr>
              <w:t>standard</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(3,686)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(3,686)</w:t>
            </w:r>
          </w:p>
        </w:tc>
        <w:tc>
          <w:tcPr>
            <w:tcW w:w="0" w:type="dxa"/>
            <w:vAlign w:val="bottom"/>
          </w:tcPr>
          <w:p>
            <w:pPr>
              <w:spacing w:after="0"/>
              <w:rPr>
                <w:sz w:val="1"/>
                <w:szCs w:val="1"/>
                <w:color w:val="auto"/>
              </w:rPr>
            </w:pPr>
          </w:p>
        </w:tc>
      </w:tr>
      <w:tr>
        <w:trPr>
          <w:trHeight w:val="229"/>
        </w:trPr>
        <w:tc>
          <w:tcPr>
            <w:tcW w:w="4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Issuance of common stock in relation to acquisitions</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267</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140"/>
              <w:spacing w:after="0"/>
              <w:rPr>
                <w:sz w:val="20"/>
                <w:szCs w:val="20"/>
                <w:color w:val="auto"/>
              </w:rPr>
            </w:pPr>
            <w:r>
              <w:rPr>
                <w:rFonts w:ascii="Arial" w:cs="Arial" w:eastAsia="Arial" w:hAnsi="Arial"/>
                <w:sz w:val="18"/>
                <w:szCs w:val="18"/>
                <w:color w:val="auto"/>
              </w:rPr>
              <w:t>Issuance of common stock for stock option exercises</w:t>
            </w:r>
          </w:p>
        </w:tc>
        <w:tc>
          <w:tcPr>
            <w:tcW w:w="920" w:type="dxa"/>
            <w:vAlign w:val="bottom"/>
          </w:tcPr>
          <w:p>
            <w:pPr>
              <w:jc w:val="right"/>
              <w:spacing w:after="0"/>
              <w:rPr>
                <w:sz w:val="20"/>
                <w:szCs w:val="20"/>
                <w:color w:val="auto"/>
              </w:rPr>
            </w:pPr>
            <w:r>
              <w:rPr>
                <w:rFonts w:ascii="Arial" w:cs="Arial" w:eastAsia="Arial" w:hAnsi="Arial"/>
                <w:sz w:val="16"/>
                <w:szCs w:val="16"/>
                <w:color w:val="auto"/>
              </w:rPr>
              <w:t>14</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Repurchase of common stock (Note 11)</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(88)</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(1,257)</w:t>
            </w: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(274)</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(1,531)</w:t>
            </w:r>
          </w:p>
        </w:tc>
        <w:tc>
          <w:tcPr>
            <w:tcW w:w="0" w:type="dxa"/>
            <w:vAlign w:val="bottom"/>
          </w:tcPr>
          <w:p>
            <w:pPr>
              <w:spacing w:after="0"/>
              <w:rPr>
                <w:sz w:val="1"/>
                <w:szCs w:val="1"/>
                <w:color w:val="auto"/>
              </w:rPr>
            </w:pPr>
          </w:p>
        </w:tc>
      </w:tr>
      <w:tr>
        <w:trPr>
          <w:trHeight w:val="229"/>
        </w:trPr>
        <w:tc>
          <w:tcPr>
            <w:tcW w:w="492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2,813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comprehensive loss</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(756)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(756)</w:t>
            </w:r>
          </w:p>
        </w:tc>
        <w:tc>
          <w:tcPr>
            <w:tcW w:w="0" w:type="dxa"/>
            <w:vAlign w:val="bottom"/>
          </w:tcPr>
          <w:p>
            <w:pPr>
              <w:spacing w:after="0"/>
              <w:rPr>
                <w:sz w:val="1"/>
                <w:szCs w:val="1"/>
                <w:color w:val="auto"/>
              </w:rPr>
            </w:pPr>
          </w:p>
        </w:tc>
      </w:tr>
      <w:tr>
        <w:trPr>
          <w:trHeight w:val="229"/>
        </w:trPr>
        <w:tc>
          <w:tcPr>
            <w:tcW w:w="4920" w:type="dxa"/>
            <w:vAlign w:val="bottom"/>
          </w:tcPr>
          <w:p>
            <w:pPr>
              <w:ind w:left="140"/>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(14,406)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(14,406)</w:t>
            </w:r>
          </w:p>
        </w:tc>
        <w:tc>
          <w:tcPr>
            <w:tcW w:w="0" w:type="dxa"/>
            <w:vAlign w:val="bottom"/>
          </w:tcPr>
          <w:p>
            <w:pPr>
              <w:spacing w:after="0"/>
              <w:rPr>
                <w:sz w:val="1"/>
                <w:szCs w:val="1"/>
                <w:color w:val="auto"/>
              </w:rPr>
            </w:pPr>
          </w:p>
        </w:tc>
      </w:tr>
      <w:tr>
        <w:trPr>
          <w:trHeight w:val="20"/>
        </w:trPr>
        <w:tc>
          <w:tcPr>
            <w:tcW w:w="49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Balance as of September 30, 2019</w:t>
            </w: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20" w:type="dxa"/>
            <w:vAlign w:val="bottom"/>
            <w:vMerge w:val="continue"/>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76,089</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261,874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(111,527)</w:t>
            </w:r>
          </w:p>
        </w:tc>
        <w:tc>
          <w:tcPr>
            <w:tcW w:w="320" w:type="dxa"/>
            <w:vAlign w:val="bottom"/>
            <w:gridSpan w:val="2"/>
            <w:shd w:val="clear" w:color="auto" w:fill="CFF0FC"/>
          </w:tcPr>
          <w:p>
            <w:pPr>
              <w:jc w:val="right"/>
              <w:ind w:right="88"/>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(3,139)</w:t>
            </w: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147,216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combined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Corsair Gaming,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Combined Consolidated Statements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thousands)</w:t>
      </w:r>
    </w:p>
    <w:p>
      <w:pPr>
        <w:spacing w:after="0" w:line="164" w:lineRule="exact"/>
        <w:rPr>
          <w:sz w:val="20"/>
          <w:szCs w:val="20"/>
          <w:color w:val="auto"/>
        </w:rPr>
      </w:pPr>
    </w:p>
    <w:p>
      <w:pPr>
        <w:jc w:val="center"/>
        <w:ind w:left="6820"/>
        <w:spacing w:after="0"/>
        <w:rPr>
          <w:sz w:val="20"/>
          <w:szCs w:val="20"/>
          <w:color w:val="auto"/>
        </w:rPr>
      </w:pPr>
      <w:r>
        <w:rPr>
          <w:rFonts w:ascii="Arial" w:cs="Arial" w:eastAsia="Arial" w:hAnsi="Arial"/>
          <w:sz w:val="14"/>
          <w:szCs w:val="14"/>
          <w:b w:val="1"/>
          <w:bCs w:val="1"/>
          <w:color w:val="auto"/>
        </w:rPr>
        <w:t>Nine Months Ended</w:t>
      </w:r>
    </w:p>
    <w:p>
      <w:pPr>
        <w:jc w:val="center"/>
        <w:ind w:left="682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55"/>
        </w:trPr>
        <w:tc>
          <w:tcPr>
            <w:tcW w:w="5980" w:type="dxa"/>
            <w:vAlign w:val="bottom"/>
            <w:tcBorders>
              <w:bottom w:val="single" w:sz="8" w:color="CFF0FC"/>
            </w:tcBorders>
          </w:tcPr>
          <w:p>
            <w:pPr>
              <w:spacing w:after="0"/>
              <w:rPr>
                <w:sz w:val="13"/>
                <w:szCs w:val="13"/>
                <w:color w:val="auto"/>
              </w:rPr>
            </w:pPr>
          </w:p>
        </w:tc>
        <w:tc>
          <w:tcPr>
            <w:tcW w:w="980" w:type="dxa"/>
            <w:vAlign w:val="bottom"/>
            <w:tcBorders>
              <w:bottom w:val="single" w:sz="8" w:color="CFF0FC"/>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2020</w:t>
            </w:r>
          </w:p>
        </w:tc>
        <w:tc>
          <w:tcPr>
            <w:tcW w:w="70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1500" w:type="dxa"/>
            <w:vAlign w:val="bottom"/>
            <w:tcBorders>
              <w:top w:val="single" w:sz="8" w:color="auto"/>
              <w:bottom w:val="single" w:sz="8" w:color="auto"/>
            </w:tcBorders>
          </w:tcPr>
          <w:p>
            <w:pPr>
              <w:jc w:val="right"/>
              <w:ind w:right="759"/>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9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tcPr>
          <w:p>
            <w:pPr>
              <w:spacing w:after="0"/>
              <w:rPr>
                <w:sz w:val="20"/>
                <w:szCs w:val="20"/>
                <w:color w:val="auto"/>
              </w:rPr>
            </w:pPr>
            <w:r>
              <w:rPr>
                <w:rFonts w:ascii="Arial" w:cs="Arial" w:eastAsia="Arial" w:hAnsi="Arial"/>
                <w:sz w:val="16"/>
                <w:szCs w:val="16"/>
                <w:color w:val="auto"/>
              </w:rPr>
              <w:t>Net income (loss)</w:t>
            </w:r>
          </w:p>
        </w:tc>
        <w:tc>
          <w:tcPr>
            <w:tcW w:w="2200" w:type="dxa"/>
            <w:vAlign w:val="bottom"/>
            <w:gridSpan w:val="2"/>
          </w:tcPr>
          <w:p>
            <w:pPr>
              <w:jc w:val="right"/>
              <w:ind w:right="1068"/>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60,174</w:t>
            </w:r>
          </w:p>
        </w:tc>
        <w:tc>
          <w:tcPr>
            <w:tcW w:w="180" w:type="dxa"/>
            <w:vAlign w:val="bottom"/>
          </w:tcPr>
          <w:p>
            <w:pPr>
              <w:spacing w:after="0"/>
              <w:rPr>
                <w:sz w:val="18"/>
                <w:szCs w:val="18"/>
                <w:color w:val="auto"/>
              </w:rPr>
            </w:pPr>
          </w:p>
        </w:tc>
        <w:tc>
          <w:tcPr>
            <w:tcW w:w="5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ind w:right="60"/>
              <w:spacing w:after="0"/>
              <w:rPr>
                <w:sz w:val="20"/>
                <w:szCs w:val="20"/>
                <w:color w:val="auto"/>
              </w:rPr>
            </w:pPr>
            <w:r>
              <w:rPr>
                <w:rFonts w:ascii="Arial" w:cs="Arial" w:eastAsia="Arial" w:hAnsi="Arial"/>
                <w:sz w:val="16"/>
                <w:szCs w:val="16"/>
                <w:color w:val="auto"/>
              </w:rPr>
              <w:t>(14,406)</w:t>
            </w:r>
          </w:p>
        </w:tc>
        <w:tc>
          <w:tcPr>
            <w:tcW w:w="0" w:type="dxa"/>
            <w:vAlign w:val="bottom"/>
          </w:tcPr>
          <w:p>
            <w:pPr>
              <w:spacing w:after="0"/>
              <w:rPr>
                <w:sz w:val="1"/>
                <w:szCs w:val="1"/>
                <w:color w:val="auto"/>
              </w:rPr>
            </w:pPr>
          </w:p>
        </w:tc>
      </w:tr>
      <w:tr>
        <w:trPr>
          <w:trHeight w:val="209"/>
        </w:trPr>
        <w:tc>
          <w:tcPr>
            <w:tcW w:w="598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income (loss) to net cash provided by</w:t>
            </w:r>
          </w:p>
        </w:tc>
        <w:tc>
          <w:tcPr>
            <w:tcW w:w="9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operating activities:</w:t>
            </w:r>
          </w:p>
        </w:tc>
        <w:tc>
          <w:tcPr>
            <w:tcW w:w="9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tcPr>
          <w:p>
            <w:pPr>
              <w:ind w:left="120"/>
              <w:spacing w:after="0"/>
              <w:rPr>
                <w:sz w:val="20"/>
                <w:szCs w:val="20"/>
                <w:color w:val="auto"/>
              </w:rPr>
            </w:pPr>
            <w:r>
              <w:rPr>
                <w:rFonts w:ascii="Arial" w:cs="Arial" w:eastAsia="Arial" w:hAnsi="Arial"/>
                <w:sz w:val="16"/>
                <w:szCs w:val="16"/>
                <w:color w:val="auto"/>
              </w:rPr>
              <w:t>Stock-based compensation</w:t>
            </w:r>
          </w:p>
        </w:tc>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4,286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2,813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Depreciation</w:t>
            </w:r>
          </w:p>
        </w:tc>
        <w:tc>
          <w:tcPr>
            <w:tcW w:w="9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6,706</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80" w:type="dxa"/>
            <w:vAlign w:val="bottom"/>
          </w:tcPr>
          <w:p>
            <w:pPr>
              <w:ind w:left="120"/>
              <w:spacing w:after="0"/>
              <w:rPr>
                <w:sz w:val="20"/>
                <w:szCs w:val="20"/>
                <w:color w:val="auto"/>
              </w:rPr>
            </w:pPr>
            <w:r>
              <w:rPr>
                <w:rFonts w:ascii="Arial" w:cs="Arial" w:eastAsia="Arial" w:hAnsi="Arial"/>
                <w:sz w:val="16"/>
                <w:szCs w:val="16"/>
                <w:color w:val="auto"/>
              </w:rPr>
              <w:t>Amortization of intangible assets</w:t>
            </w:r>
          </w:p>
        </w:tc>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25,344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23,551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Debt issuance costs amortization</w:t>
            </w:r>
          </w:p>
        </w:tc>
        <w:tc>
          <w:tcPr>
            <w:tcW w:w="9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1,990</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80" w:type="dxa"/>
            <w:vAlign w:val="bottom"/>
          </w:tcPr>
          <w:p>
            <w:pPr>
              <w:ind w:left="120"/>
              <w:spacing w:after="0"/>
              <w:rPr>
                <w:sz w:val="20"/>
                <w:szCs w:val="20"/>
                <w:color w:val="auto"/>
              </w:rPr>
            </w:pPr>
            <w:r>
              <w:rPr>
                <w:rFonts w:ascii="Arial" w:cs="Arial" w:eastAsia="Arial" w:hAnsi="Arial"/>
                <w:sz w:val="16"/>
                <w:szCs w:val="16"/>
                <w:color w:val="auto"/>
              </w:rPr>
              <w:t>Loss on debt extinguishment</w:t>
            </w:r>
          </w:p>
        </w:tc>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3,256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Deferred income taxes</w:t>
            </w:r>
          </w:p>
        </w:tc>
        <w:tc>
          <w:tcPr>
            <w:tcW w:w="9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(6,892)</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(7,257)</w:t>
            </w:r>
          </w:p>
        </w:tc>
        <w:tc>
          <w:tcPr>
            <w:tcW w:w="0" w:type="dxa"/>
            <w:vAlign w:val="bottom"/>
          </w:tcPr>
          <w:p>
            <w:pPr>
              <w:spacing w:after="0"/>
              <w:rPr>
                <w:sz w:val="1"/>
                <w:szCs w:val="1"/>
                <w:color w:val="auto"/>
              </w:rPr>
            </w:pPr>
          </w:p>
        </w:tc>
      </w:tr>
      <w:tr>
        <w:trPr>
          <w:trHeight w:val="213"/>
        </w:trPr>
        <w:tc>
          <w:tcPr>
            <w:tcW w:w="5980" w:type="dxa"/>
            <w:vAlign w:val="bottom"/>
          </w:tcPr>
          <w:p>
            <w:pPr>
              <w:ind w:left="120"/>
              <w:spacing w:after="0"/>
              <w:rPr>
                <w:sz w:val="20"/>
                <w:szCs w:val="20"/>
                <w:color w:val="auto"/>
              </w:rPr>
            </w:pPr>
            <w:r>
              <w:rPr>
                <w:rFonts w:ascii="Arial" w:cs="Arial" w:eastAsia="Arial" w:hAnsi="Arial"/>
                <w:sz w:val="16"/>
                <w:szCs w:val="16"/>
                <w:color w:val="auto"/>
              </w:rPr>
              <w:t>Other</w:t>
            </w:r>
          </w:p>
        </w:tc>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1,070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Changes in operating assets and liabilities:</w:t>
            </w:r>
          </w:p>
        </w:tc>
        <w:tc>
          <w:tcPr>
            <w:tcW w:w="9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80" w:type="dxa"/>
            <w:vAlign w:val="bottom"/>
          </w:tcPr>
          <w:p>
            <w:pPr>
              <w:ind w:left="240"/>
              <w:spacing w:after="0"/>
              <w:rPr>
                <w:sz w:val="20"/>
                <w:szCs w:val="20"/>
                <w:color w:val="auto"/>
              </w:rPr>
            </w:pPr>
            <w:r>
              <w:rPr>
                <w:rFonts w:ascii="Arial" w:cs="Arial" w:eastAsia="Arial" w:hAnsi="Arial"/>
                <w:sz w:val="16"/>
                <w:szCs w:val="16"/>
                <w:color w:val="auto"/>
              </w:rPr>
              <w:t>Accounts receivable</w:t>
            </w:r>
          </w:p>
        </w:tc>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(58,067)</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6"/>
                <w:szCs w:val="16"/>
                <w:color w:val="auto"/>
              </w:rPr>
              <w:t>(10,573)</w:t>
            </w:r>
          </w:p>
        </w:tc>
        <w:tc>
          <w:tcPr>
            <w:tcW w:w="0" w:type="dxa"/>
            <w:vAlign w:val="bottom"/>
          </w:tcPr>
          <w:p>
            <w:pPr>
              <w:spacing w:after="0"/>
              <w:rPr>
                <w:sz w:val="1"/>
                <w:szCs w:val="1"/>
                <w:color w:val="auto"/>
              </w:rPr>
            </w:pPr>
          </w:p>
        </w:tc>
      </w:tr>
      <w:tr>
        <w:trPr>
          <w:trHeight w:val="219"/>
        </w:trPr>
        <w:tc>
          <w:tcPr>
            <w:tcW w:w="5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Inventories</w:t>
            </w:r>
          </w:p>
        </w:tc>
        <w:tc>
          <w:tcPr>
            <w:tcW w:w="9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(60,886)</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(13,021)</w:t>
            </w:r>
          </w:p>
        </w:tc>
        <w:tc>
          <w:tcPr>
            <w:tcW w:w="0" w:type="dxa"/>
            <w:vAlign w:val="bottom"/>
          </w:tcPr>
          <w:p>
            <w:pPr>
              <w:spacing w:after="0"/>
              <w:rPr>
                <w:sz w:val="1"/>
                <w:szCs w:val="1"/>
                <w:color w:val="auto"/>
              </w:rPr>
            </w:pPr>
          </w:p>
        </w:tc>
      </w:tr>
      <w:tr>
        <w:trPr>
          <w:trHeight w:val="213"/>
        </w:trPr>
        <w:tc>
          <w:tcPr>
            <w:tcW w:w="5980" w:type="dxa"/>
            <w:vAlign w:val="bottom"/>
          </w:tcPr>
          <w:p>
            <w:pPr>
              <w:ind w:left="260"/>
              <w:spacing w:after="0"/>
              <w:rPr>
                <w:sz w:val="20"/>
                <w:szCs w:val="20"/>
                <w:color w:val="auto"/>
              </w:rPr>
            </w:pPr>
            <w:r>
              <w:rPr>
                <w:rFonts w:ascii="Arial" w:cs="Arial" w:eastAsia="Arial" w:hAnsi="Arial"/>
                <w:sz w:val="16"/>
                <w:szCs w:val="16"/>
                <w:color w:val="auto"/>
              </w:rPr>
              <w:t>Prepaid expenses and other assets</w:t>
            </w:r>
          </w:p>
        </w:tc>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(20,431)</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6"/>
                <w:szCs w:val="16"/>
                <w:color w:val="auto"/>
              </w:rPr>
              <w:t>(3,312)</w:t>
            </w:r>
          </w:p>
        </w:tc>
        <w:tc>
          <w:tcPr>
            <w:tcW w:w="0" w:type="dxa"/>
            <w:vAlign w:val="bottom"/>
          </w:tcPr>
          <w:p>
            <w:pPr>
              <w:spacing w:after="0"/>
              <w:rPr>
                <w:sz w:val="1"/>
                <w:szCs w:val="1"/>
                <w:color w:val="auto"/>
              </w:rPr>
            </w:pPr>
          </w:p>
        </w:tc>
      </w:tr>
      <w:tr>
        <w:trPr>
          <w:trHeight w:val="219"/>
        </w:trPr>
        <w:tc>
          <w:tcPr>
            <w:tcW w:w="59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Accounts payable</w:t>
            </w:r>
          </w:p>
        </w:tc>
        <w:tc>
          <w:tcPr>
            <w:tcW w:w="9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92,772</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8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liabilities and accrued expenses</w:t>
            </w:r>
          </w:p>
        </w:tc>
        <w:tc>
          <w:tcPr>
            <w:tcW w:w="980" w:type="dxa"/>
            <w:vAlign w:val="bottom"/>
            <w:tcBorders>
              <w:bottom w:val="single" w:sz="8" w:color="CFF0FC"/>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51,002</w:t>
            </w:r>
          </w:p>
        </w:tc>
        <w:tc>
          <w:tcPr>
            <w:tcW w:w="18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12,947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980" w:type="dxa"/>
            <w:vAlign w:val="bottom"/>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100,324</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98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9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Acquisition of business, net of cash acquired</w:t>
            </w:r>
          </w:p>
        </w:tc>
        <w:tc>
          <w:tcPr>
            <w:tcW w:w="9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(836)</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(4,846)</w:t>
            </w:r>
          </w:p>
        </w:tc>
        <w:tc>
          <w:tcPr>
            <w:tcW w:w="0" w:type="dxa"/>
            <w:vAlign w:val="bottom"/>
          </w:tcPr>
          <w:p>
            <w:pPr>
              <w:spacing w:after="0"/>
              <w:rPr>
                <w:sz w:val="1"/>
                <w:szCs w:val="1"/>
                <w:color w:val="auto"/>
              </w:rPr>
            </w:pPr>
          </w:p>
        </w:tc>
      </w:tr>
      <w:tr>
        <w:trPr>
          <w:trHeight w:val="213"/>
        </w:trPr>
        <w:tc>
          <w:tcPr>
            <w:tcW w:w="5980" w:type="dxa"/>
            <w:vAlign w:val="bottom"/>
          </w:tcPr>
          <w:p>
            <w:pPr>
              <w:ind w:left="120"/>
              <w:spacing w:after="0"/>
              <w:rPr>
                <w:sz w:val="20"/>
                <w:szCs w:val="20"/>
                <w:color w:val="auto"/>
              </w:rPr>
            </w:pPr>
            <w:r>
              <w:rPr>
                <w:rFonts w:ascii="Arial" w:cs="Arial" w:eastAsia="Arial" w:hAnsi="Arial"/>
                <w:sz w:val="16"/>
                <w:szCs w:val="16"/>
                <w:color w:val="auto"/>
              </w:rPr>
              <w:t>Payment of deferred consideration</w:t>
            </w:r>
          </w:p>
        </w:tc>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6"/>
                <w:szCs w:val="16"/>
                <w:color w:val="auto"/>
              </w:rPr>
              <w:t>(10,300)</w:t>
            </w:r>
          </w:p>
        </w:tc>
        <w:tc>
          <w:tcPr>
            <w:tcW w:w="0" w:type="dxa"/>
            <w:vAlign w:val="bottom"/>
          </w:tcPr>
          <w:p>
            <w:pPr>
              <w:spacing w:after="0"/>
              <w:rPr>
                <w:sz w:val="1"/>
                <w:szCs w:val="1"/>
                <w:color w:val="auto"/>
              </w:rPr>
            </w:pPr>
          </w:p>
        </w:tc>
      </w:tr>
      <w:tr>
        <w:trPr>
          <w:trHeight w:val="219"/>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Purchase of property and equipment</w:t>
            </w:r>
          </w:p>
        </w:tc>
        <w:tc>
          <w:tcPr>
            <w:tcW w:w="9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(5,072)</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(7,003)</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380"/>
              <w:spacing w:after="0"/>
              <w:rPr>
                <w:sz w:val="20"/>
                <w:szCs w:val="20"/>
                <w:color w:val="auto"/>
              </w:rPr>
            </w:pPr>
            <w:r>
              <w:rPr>
                <w:rFonts w:ascii="Arial" w:cs="Arial" w:eastAsia="Arial" w:hAnsi="Arial"/>
                <w:sz w:val="16"/>
                <w:szCs w:val="16"/>
                <w:color w:val="auto"/>
              </w:rPr>
              <w:t>Net cash used in investing activities</w:t>
            </w:r>
          </w:p>
        </w:tc>
        <w:tc>
          <w:tcPr>
            <w:tcW w:w="9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98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(5,908)</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6"/>
                <w:szCs w:val="16"/>
                <w:color w:val="auto"/>
              </w:rPr>
              <w:t>(22,149)</w:t>
            </w:r>
          </w:p>
        </w:tc>
        <w:tc>
          <w:tcPr>
            <w:tcW w:w="0" w:type="dxa"/>
            <w:vAlign w:val="bottom"/>
          </w:tcPr>
          <w:p>
            <w:pPr>
              <w:spacing w:after="0"/>
              <w:rPr>
                <w:sz w:val="1"/>
                <w:szCs w:val="1"/>
                <w:color w:val="auto"/>
              </w:rPr>
            </w:pPr>
          </w:p>
        </w:tc>
      </w:tr>
      <w:tr>
        <w:trPr>
          <w:trHeight w:val="213"/>
        </w:trPr>
        <w:tc>
          <w:tcPr>
            <w:tcW w:w="5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980" w:type="dxa"/>
            <w:vAlign w:val="bottom"/>
            <w:tcBorders>
              <w:top w:val="single" w:sz="8" w:color="CFF0FC"/>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tcPr>
          <w:p>
            <w:pPr>
              <w:ind w:left="120"/>
              <w:spacing w:after="0"/>
              <w:rPr>
                <w:sz w:val="20"/>
                <w:szCs w:val="20"/>
                <w:color w:val="auto"/>
              </w:rPr>
            </w:pPr>
            <w:r>
              <w:rPr>
                <w:rFonts w:ascii="Arial" w:cs="Arial" w:eastAsia="Arial" w:hAnsi="Arial"/>
                <w:sz w:val="16"/>
                <w:szCs w:val="16"/>
                <w:color w:val="auto"/>
              </w:rPr>
              <w:t>Repayment of debt</w:t>
            </w:r>
          </w:p>
        </w:tc>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(140,394)</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6"/>
                <w:szCs w:val="16"/>
                <w:color w:val="auto"/>
              </w:rPr>
              <w:t>(2,775)</w:t>
            </w:r>
          </w:p>
        </w:tc>
        <w:tc>
          <w:tcPr>
            <w:tcW w:w="0" w:type="dxa"/>
            <w:vAlign w:val="bottom"/>
          </w:tcPr>
          <w:p>
            <w:pPr>
              <w:spacing w:after="0"/>
              <w:rPr>
                <w:sz w:val="1"/>
                <w:szCs w:val="1"/>
                <w:color w:val="auto"/>
              </w:rPr>
            </w:pPr>
          </w:p>
        </w:tc>
      </w:tr>
      <w:tr>
        <w:trPr>
          <w:trHeight w:val="219"/>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Payment of debt issuance costs</w:t>
            </w:r>
          </w:p>
        </w:tc>
        <w:tc>
          <w:tcPr>
            <w:tcW w:w="9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(194)</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13"/>
        </w:trPr>
        <w:tc>
          <w:tcPr>
            <w:tcW w:w="5980" w:type="dxa"/>
            <w:vAlign w:val="bottom"/>
          </w:tcPr>
          <w:p>
            <w:pPr>
              <w:ind w:left="120"/>
              <w:spacing w:after="0"/>
              <w:rPr>
                <w:sz w:val="20"/>
                <w:szCs w:val="20"/>
                <w:color w:val="auto"/>
              </w:rPr>
            </w:pPr>
            <w:r>
              <w:rPr>
                <w:rFonts w:ascii="Arial" w:cs="Arial" w:eastAsia="Arial" w:hAnsi="Arial"/>
                <w:sz w:val="16"/>
                <w:szCs w:val="16"/>
                <w:color w:val="auto"/>
              </w:rPr>
              <w:t>Repayment of line of credit, net</w:t>
            </w:r>
          </w:p>
        </w:tc>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Proceeds from initial public offering and private placement, net of</w:t>
            </w:r>
          </w:p>
        </w:tc>
        <w:tc>
          <w:tcPr>
            <w:tcW w:w="9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underwriting discounts and commissions</w:t>
            </w:r>
          </w:p>
        </w:tc>
        <w:tc>
          <w:tcPr>
            <w:tcW w:w="9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118,575</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980" w:type="dxa"/>
            <w:vAlign w:val="bottom"/>
          </w:tcPr>
          <w:p>
            <w:pPr>
              <w:ind w:left="120"/>
              <w:spacing w:after="0"/>
              <w:rPr>
                <w:sz w:val="20"/>
                <w:szCs w:val="20"/>
                <w:color w:val="auto"/>
              </w:rPr>
            </w:pPr>
            <w:r>
              <w:rPr>
                <w:rFonts w:ascii="Arial" w:cs="Arial" w:eastAsia="Arial" w:hAnsi="Arial"/>
                <w:sz w:val="16"/>
                <w:szCs w:val="16"/>
                <w:color w:val="auto"/>
              </w:rPr>
              <w:t>Payment of other offering costs</w:t>
            </w:r>
          </w:p>
        </w:tc>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(5,582)</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19"/>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Repurchase of common stock</w:t>
            </w:r>
          </w:p>
        </w:tc>
        <w:tc>
          <w:tcPr>
            <w:tcW w:w="9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(569)</w:t>
            </w:r>
          </w:p>
        </w:tc>
        <w:tc>
          <w:tcPr>
            <w:tcW w:w="0" w:type="dxa"/>
            <w:vAlign w:val="bottom"/>
          </w:tcPr>
          <w:p>
            <w:pPr>
              <w:spacing w:after="0"/>
              <w:rPr>
                <w:sz w:val="1"/>
                <w:szCs w:val="1"/>
                <w:color w:val="auto"/>
              </w:rPr>
            </w:pPr>
          </w:p>
        </w:tc>
      </w:tr>
      <w:tr>
        <w:trPr>
          <w:trHeight w:val="213"/>
        </w:trPr>
        <w:tc>
          <w:tcPr>
            <w:tcW w:w="5980" w:type="dxa"/>
            <w:vAlign w:val="bottom"/>
            <w:tcBorders>
              <w:bottom w:val="single" w:sz="8" w:color="CFF0FC"/>
            </w:tcBorders>
          </w:tcPr>
          <w:p>
            <w:pPr>
              <w:ind w:left="120"/>
              <w:spacing w:after="0"/>
              <w:rPr>
                <w:sz w:val="20"/>
                <w:szCs w:val="20"/>
                <w:color w:val="auto"/>
              </w:rPr>
            </w:pPr>
            <w:r>
              <w:rPr>
                <w:rFonts w:ascii="Arial" w:cs="Arial" w:eastAsia="Arial" w:hAnsi="Arial"/>
                <w:sz w:val="16"/>
                <w:szCs w:val="16"/>
                <w:color w:val="auto"/>
              </w:rPr>
              <w:t>Proceeds from exercise of stock options</w:t>
            </w:r>
          </w:p>
        </w:tc>
        <w:tc>
          <w:tcPr>
            <w:tcW w:w="980" w:type="dxa"/>
            <w:vAlign w:val="bottom"/>
            <w:tcBorders>
              <w:bottom w:val="single" w:sz="8" w:color="CFF0FC"/>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1,224</w:t>
            </w:r>
          </w:p>
        </w:tc>
        <w:tc>
          <w:tcPr>
            <w:tcW w:w="18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Net cash provided by (used in) financing activities</w:t>
            </w:r>
          </w:p>
        </w:tc>
        <w:tc>
          <w:tcPr>
            <w:tcW w:w="9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(26,371)</w:t>
            </w: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9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Effect of exchange rate changes on cash</w:t>
            </w:r>
          </w:p>
        </w:tc>
        <w:tc>
          <w:tcPr>
            <w:tcW w:w="980" w:type="dxa"/>
            <w:vAlign w:val="bottom"/>
            <w:tcBorders>
              <w:bottom w:val="single" w:sz="8" w:color="CFF0FC"/>
            </w:tcBorders>
          </w:tcPr>
          <w:p>
            <w:pPr>
              <w:spacing w:after="0"/>
              <w:rPr>
                <w:sz w:val="17"/>
                <w:szCs w:val="17"/>
                <w:color w:val="auto"/>
              </w:rPr>
            </w:pPr>
          </w:p>
        </w:tc>
        <w:tc>
          <w:tcPr>
            <w:tcW w:w="12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18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980" w:type="dxa"/>
            <w:vAlign w:val="bottom"/>
            <w:shd w:val="clear" w:color="auto" w:fill="CFF0FC"/>
          </w:tcPr>
          <w:p>
            <w:pPr>
              <w:spacing w:after="0"/>
              <w:rPr>
                <w:sz w:val="20"/>
                <w:szCs w:val="20"/>
                <w:color w:val="auto"/>
              </w:rPr>
            </w:pPr>
            <w:r>
              <w:rPr>
                <w:rFonts w:ascii="Arial" w:cs="Arial" w:eastAsia="Arial" w:hAnsi="Arial"/>
                <w:sz w:val="16"/>
                <w:szCs w:val="16"/>
                <w:color w:val="auto"/>
              </w:rPr>
              <w:t>Net increase (decrease) in cash and restricted cash</w:t>
            </w:r>
          </w:p>
        </w:tc>
        <w:tc>
          <w:tcPr>
            <w:tcW w:w="9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68,194</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(15,791)</w:t>
            </w:r>
          </w:p>
        </w:tc>
        <w:tc>
          <w:tcPr>
            <w:tcW w:w="0" w:type="dxa"/>
            <w:vAlign w:val="bottom"/>
          </w:tcPr>
          <w:p>
            <w:pPr>
              <w:spacing w:after="0"/>
              <w:rPr>
                <w:sz w:val="1"/>
                <w:szCs w:val="1"/>
                <w:color w:val="auto"/>
              </w:rPr>
            </w:pPr>
          </w:p>
        </w:tc>
      </w:tr>
      <w:tr>
        <w:trPr>
          <w:trHeight w:val="213"/>
        </w:trPr>
        <w:tc>
          <w:tcPr>
            <w:tcW w:w="59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and restricted cash at the beginning of the period</w:t>
            </w:r>
          </w:p>
        </w:tc>
        <w:tc>
          <w:tcPr>
            <w:tcW w:w="980" w:type="dxa"/>
            <w:vAlign w:val="bottom"/>
            <w:tcBorders>
              <w:bottom w:val="single" w:sz="8" w:color="CFF0FC"/>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51,947</w:t>
            </w:r>
          </w:p>
        </w:tc>
        <w:tc>
          <w:tcPr>
            <w:tcW w:w="18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27,920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FF0FC"/>
          </w:tcPr>
          <w:p>
            <w:pPr>
              <w:spacing w:after="0"/>
              <w:rPr>
                <w:sz w:val="20"/>
                <w:szCs w:val="20"/>
                <w:color w:val="auto"/>
              </w:rPr>
            </w:pPr>
            <w:r>
              <w:rPr>
                <w:rFonts w:ascii="Arial" w:cs="Arial" w:eastAsia="Arial" w:hAnsi="Arial"/>
                <w:sz w:val="16"/>
                <w:szCs w:val="16"/>
                <w:color w:val="auto"/>
              </w:rPr>
              <w:t>Cash and restricted cash at the end of the period</w:t>
            </w:r>
          </w:p>
        </w:tc>
        <w:tc>
          <w:tcPr>
            <w:tcW w:w="2200" w:type="dxa"/>
            <w:vAlign w:val="bottom"/>
            <w:gridSpan w:val="2"/>
            <w:shd w:val="clear" w:color="auto" w:fill="CFF0FC"/>
          </w:tcPr>
          <w:p>
            <w:pPr>
              <w:jc w:val="right"/>
              <w:ind w:right="1068"/>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120,141</w:t>
            </w:r>
          </w:p>
        </w:tc>
        <w:tc>
          <w:tcPr>
            <w:tcW w:w="18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Supplemental cash flow disclosures:</w:t>
            </w:r>
          </w:p>
        </w:tc>
        <w:tc>
          <w:tcPr>
            <w:tcW w:w="98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8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980" w:type="dxa"/>
            <w:vAlign w:val="bottom"/>
            <w:shd w:val="clear" w:color="auto" w:fill="CFF0FC"/>
          </w:tcPr>
          <w:p>
            <w:pPr>
              <w:spacing w:after="0"/>
              <w:rPr>
                <w:sz w:val="20"/>
                <w:szCs w:val="20"/>
                <w:color w:val="auto"/>
              </w:rPr>
            </w:pPr>
            <w:r>
              <w:rPr>
                <w:rFonts w:ascii="Arial" w:cs="Arial" w:eastAsia="Arial" w:hAnsi="Arial"/>
                <w:sz w:val="16"/>
                <w:szCs w:val="16"/>
                <w:color w:val="auto"/>
              </w:rPr>
              <w:t>Cash paid for interest</w:t>
            </w:r>
          </w:p>
        </w:tc>
        <w:tc>
          <w:tcPr>
            <w:tcW w:w="2200" w:type="dxa"/>
            <w:vAlign w:val="bottom"/>
            <w:gridSpan w:val="2"/>
            <w:shd w:val="clear" w:color="auto" w:fill="CFF0FC"/>
          </w:tcPr>
          <w:p>
            <w:pPr>
              <w:jc w:val="right"/>
              <w:ind w:right="1068"/>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23,397</w:t>
            </w:r>
          </w:p>
        </w:tc>
        <w:tc>
          <w:tcPr>
            <w:tcW w:w="1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80" w:type="dxa"/>
            <w:vAlign w:val="bottom"/>
          </w:tcPr>
          <w:p>
            <w:pPr>
              <w:spacing w:after="0"/>
              <w:rPr>
                <w:sz w:val="20"/>
                <w:szCs w:val="20"/>
                <w:color w:val="auto"/>
              </w:rPr>
            </w:pPr>
            <w:r>
              <w:rPr>
                <w:rFonts w:ascii="Arial" w:cs="Arial" w:eastAsia="Arial" w:hAnsi="Arial"/>
                <w:sz w:val="16"/>
                <w:szCs w:val="16"/>
                <w:color w:val="auto"/>
              </w:rPr>
              <w:t>Cash paid for income taxes</w:t>
            </w:r>
          </w:p>
        </w:tc>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7,276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Supplemental schedule of non-cash investing and financing activities:</w:t>
            </w:r>
          </w:p>
        </w:tc>
        <w:tc>
          <w:tcPr>
            <w:tcW w:w="9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80" w:type="dxa"/>
            <w:vAlign w:val="bottom"/>
          </w:tcPr>
          <w:p>
            <w:pPr>
              <w:ind w:left="120"/>
              <w:spacing w:after="0"/>
              <w:rPr>
                <w:sz w:val="20"/>
                <w:szCs w:val="20"/>
                <w:color w:val="auto"/>
              </w:rPr>
            </w:pPr>
            <w:r>
              <w:rPr>
                <w:rFonts w:ascii="Arial" w:cs="Arial" w:eastAsia="Arial" w:hAnsi="Arial"/>
                <w:sz w:val="16"/>
                <w:szCs w:val="16"/>
                <w:color w:val="auto"/>
              </w:rPr>
              <w:t>Equipment purchased and unpaid at period end</w:t>
            </w:r>
          </w:p>
        </w:tc>
        <w:tc>
          <w:tcPr>
            <w:tcW w:w="2200" w:type="dxa"/>
            <w:vAlign w:val="bottom"/>
            <w:gridSpan w:val="2"/>
          </w:tcPr>
          <w:p>
            <w:pPr>
              <w:jc w:val="right"/>
              <w:ind w:right="1068"/>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2,331</w:t>
            </w:r>
          </w:p>
        </w:tc>
        <w:tc>
          <w:tcPr>
            <w:tcW w:w="180" w:type="dxa"/>
            <w:vAlign w:val="bottom"/>
          </w:tcPr>
          <w:p>
            <w:pPr>
              <w:spacing w:after="0"/>
              <w:rPr>
                <w:sz w:val="18"/>
                <w:szCs w:val="18"/>
                <w:color w:val="auto"/>
              </w:rPr>
            </w:pPr>
          </w:p>
        </w:tc>
        <w:tc>
          <w:tcPr>
            <w:tcW w:w="5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1,353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Issuance of common stock relating to business acquisitions</w:t>
            </w:r>
          </w:p>
        </w:tc>
        <w:tc>
          <w:tcPr>
            <w:tcW w:w="9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80" w:type="dxa"/>
            <w:vAlign w:val="bottom"/>
          </w:tcPr>
          <w:p>
            <w:pPr>
              <w:ind w:left="120"/>
              <w:spacing w:after="0"/>
              <w:rPr>
                <w:sz w:val="20"/>
                <w:szCs w:val="20"/>
                <w:color w:val="auto"/>
              </w:rPr>
            </w:pPr>
            <w:r>
              <w:rPr>
                <w:rFonts w:ascii="Arial" w:cs="Arial" w:eastAsia="Arial" w:hAnsi="Arial"/>
                <w:sz w:val="16"/>
                <w:szCs w:val="16"/>
                <w:color w:val="auto"/>
              </w:rPr>
              <w:t>Deferred purchase consideration (Note 5)</w:t>
            </w:r>
          </w:p>
        </w:tc>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Measurement period adjustment relating to business acquisitions</w:t>
            </w:r>
          </w:p>
        </w:tc>
        <w:tc>
          <w:tcPr>
            <w:tcW w:w="9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1,834</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980" w:type="dxa"/>
            <w:vAlign w:val="bottom"/>
          </w:tcPr>
          <w:p>
            <w:pPr>
              <w:ind w:left="120"/>
              <w:spacing w:after="0"/>
              <w:rPr>
                <w:sz w:val="20"/>
                <w:szCs w:val="20"/>
                <w:color w:val="auto"/>
              </w:rPr>
            </w:pPr>
            <w:r>
              <w:rPr>
                <w:rFonts w:ascii="Arial" w:cs="Arial" w:eastAsia="Arial" w:hAnsi="Arial"/>
                <w:sz w:val="16"/>
                <w:szCs w:val="16"/>
                <w:color w:val="auto"/>
              </w:rPr>
              <w:t>Forward contract on common stock repurchase</w:t>
            </w:r>
          </w:p>
        </w:tc>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Deferred offering costs included in accounts payable and accrued expenses</w:t>
            </w:r>
          </w:p>
        </w:tc>
        <w:tc>
          <w:tcPr>
            <w:tcW w:w="9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2,710</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combined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Corsair Gaming,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Combined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 xml:space="preserve">Corsair Gaming, Inc., a Delaware corporation, together with its subsidiaries </w:t>
      </w:r>
      <w:r>
        <w:rPr>
          <w:rFonts w:ascii="Arial" w:cs="Arial" w:eastAsia="Arial" w:hAnsi="Arial"/>
          <w:sz w:val="18"/>
          <w:szCs w:val="18"/>
          <w:i w:val="1"/>
          <w:iCs w:val="1"/>
          <w:color w:val="auto"/>
        </w:rPr>
        <w:t>(collectively, “Corsair” the “Company”, “we”, “us”, or “our”)</w:t>
      </w:r>
      <w:r>
        <w:rPr>
          <w:rFonts w:ascii="Arial" w:cs="Arial" w:eastAsia="Arial" w:hAnsi="Arial"/>
          <w:sz w:val="18"/>
          <w:szCs w:val="18"/>
          <w:color w:val="auto"/>
        </w:rPr>
        <w:t>, is a global provider and innovator of high-performance gear for gamers, streamers and content creators.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Corsair is organized into two reportable segments:</w:t>
      </w:r>
    </w:p>
    <w:p>
      <w:pPr>
        <w:spacing w:after="0" w:line="117" w:lineRule="exact"/>
        <w:rPr>
          <w:sz w:val="20"/>
          <w:szCs w:val="20"/>
          <w:color w:val="auto"/>
        </w:rPr>
      </w:pPr>
    </w:p>
    <w:p>
      <w:pPr>
        <w:ind w:left="1000" w:right="24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Gamer and creator peripherals. Includes our high-performance gaming keyboards, mice, headsets and controllers, as well as our streaming gear including capture cards, studio accessories, and microphones, among others.</w:t>
      </w:r>
    </w:p>
    <w:p>
      <w:pPr>
        <w:spacing w:after="0" w:line="75" w:lineRule="exact"/>
        <w:rPr>
          <w:rFonts w:ascii="Arial" w:cs="Arial" w:eastAsia="Arial" w:hAnsi="Arial"/>
          <w:sz w:val="18"/>
          <w:szCs w:val="18"/>
          <w:color w:val="auto"/>
        </w:rPr>
      </w:pPr>
    </w:p>
    <w:p>
      <w:pPr>
        <w:ind w:left="1000" w:right="50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Gaming components and systems. Includes our high-performance power supply units, or PSUs, cooling solutions, computer cases, and DRAM modules, as well as high-end prebuilt and custom-built gaming PCs, among others.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Reorganization</w:t>
      </w:r>
    </w:p>
    <w:p>
      <w:pPr>
        <w:spacing w:after="0" w:line="117"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 xml:space="preserve">On September 15, 2020, a corporate reorganization </w:t>
      </w:r>
      <w:r>
        <w:rPr>
          <w:rFonts w:ascii="Arial" w:cs="Arial" w:eastAsia="Arial" w:hAnsi="Arial"/>
          <w:sz w:val="17"/>
          <w:szCs w:val="17"/>
          <w:i w:val="1"/>
          <w:iCs w:val="1"/>
          <w:color w:val="auto"/>
        </w:rPr>
        <w:t>(the “Reorganization”)</w:t>
      </w:r>
      <w:r>
        <w:rPr>
          <w:rFonts w:ascii="Arial" w:cs="Arial" w:eastAsia="Arial" w:hAnsi="Arial"/>
          <w:sz w:val="17"/>
          <w:szCs w:val="17"/>
          <w:color w:val="auto"/>
        </w:rPr>
        <w:t xml:space="preserve"> was consummated whereby we now own directly and indirectly all of the operating subsidiaries and assets that were formerly owned by Corsair Group (Cayman), LP </w:t>
      </w:r>
      <w:r>
        <w:rPr>
          <w:rFonts w:ascii="Arial" w:cs="Arial" w:eastAsia="Arial" w:hAnsi="Arial"/>
          <w:sz w:val="17"/>
          <w:szCs w:val="17"/>
          <w:i w:val="1"/>
          <w:iCs w:val="1"/>
          <w:color w:val="auto"/>
        </w:rPr>
        <w:t>(the “Parent”)</w:t>
      </w:r>
      <w:r>
        <w:rPr>
          <w:rFonts w:ascii="Arial" w:cs="Arial" w:eastAsia="Arial" w:hAnsi="Arial"/>
          <w:sz w:val="17"/>
          <w:szCs w:val="17"/>
          <w:color w:val="auto"/>
        </w:rPr>
        <w:t xml:space="preserve"> and Corsair Group (US), LLC, a minority interest holder. The Parent is a limited partnership domiciled in the Cayman Islands. The Parent and Corsair Group (US), LLC are under common control of the affiliates of EagleTree Capital, LP, a private equity investment firm. Prior to the Reorganization, the North American and international operations of Corsair were conducted by certain operating subsidiaries held by separate entities, Corsair Gaming, Inc. and Corsair Holdings (Lux) S.à r.l. </w:t>
      </w:r>
      <w:r>
        <w:rPr>
          <w:rFonts w:ascii="Arial" w:cs="Arial" w:eastAsia="Arial" w:hAnsi="Arial"/>
          <w:sz w:val="17"/>
          <w:szCs w:val="17"/>
          <w:i w:val="1"/>
          <w:iCs w:val="1"/>
          <w:color w:val="auto"/>
        </w:rPr>
        <w:t>(or “Corsair</w:t>
      </w:r>
      <w:r>
        <w:rPr>
          <w:rFonts w:ascii="Arial" w:cs="Arial" w:eastAsia="Arial" w:hAnsi="Arial"/>
          <w:sz w:val="17"/>
          <w:szCs w:val="17"/>
          <w:color w:val="auto"/>
        </w:rPr>
        <w:t xml:space="preserve"> </w:t>
      </w:r>
      <w:r>
        <w:rPr>
          <w:rFonts w:ascii="Arial" w:cs="Arial" w:eastAsia="Arial" w:hAnsi="Arial"/>
          <w:sz w:val="17"/>
          <w:szCs w:val="17"/>
          <w:i w:val="1"/>
          <w:iCs w:val="1"/>
          <w:color w:val="auto"/>
        </w:rPr>
        <w:t>Luxco”)</w:t>
      </w:r>
      <w:r>
        <w:rPr>
          <w:rFonts w:ascii="Arial" w:cs="Arial" w:eastAsia="Arial" w:hAnsi="Arial"/>
          <w:sz w:val="17"/>
          <w:szCs w:val="17"/>
          <w:color w:val="auto"/>
        </w:rPr>
        <w:t>, respectively, each of which was substantially owned by and under common control of the Parent.</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Reorganization was comprised of a series of steps as set forth below:</w:t>
      </w:r>
    </w:p>
    <w:p>
      <w:pPr>
        <w:spacing w:after="0" w:line="117" w:lineRule="exact"/>
        <w:rPr>
          <w:sz w:val="20"/>
          <w:szCs w:val="20"/>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Parent acquired the minority interest held by Corsair Group (US), LLC in exchange for its own units.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Corsair Gaming, Inc. acquired all of the outstanding capital stock of Corsair Luxco from the Parent in exchange for its own stock.</w:t>
      </w:r>
    </w:p>
    <w:p>
      <w:pPr>
        <w:spacing w:after="0" w:line="128" w:lineRule="exact"/>
        <w:rPr>
          <w:rFonts w:ascii="Arial" w:cs="Arial" w:eastAsia="Arial" w:hAnsi="Arial"/>
          <w:sz w:val="17"/>
          <w:szCs w:val="17"/>
          <w:color w:val="auto"/>
        </w:rPr>
      </w:pPr>
    </w:p>
    <w:p>
      <w:pPr>
        <w:jc w:val="both"/>
        <w:ind w:left="1000" w:right="280" w:hanging="493"/>
        <w:spacing w:after="0" w:line="263"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order for management and certain other partnership unit holders of the Parent to hold Corsair’s common stock directly, we entered into exchange agreements with such holders to exchange the Parent’s units for shares of Corsair’s common stock on a pro rata basis relative to their holdings in the Parent prior to the Reorganization.</w:t>
      </w:r>
    </w:p>
    <w:p>
      <w:pPr>
        <w:spacing w:after="0" w:line="75" w:lineRule="exact"/>
        <w:rPr>
          <w:rFonts w:ascii="Arial" w:cs="Arial" w:eastAsia="Arial" w:hAnsi="Arial"/>
          <w:sz w:val="18"/>
          <w:szCs w:val="18"/>
          <w:color w:val="auto"/>
        </w:rPr>
      </w:pPr>
    </w:p>
    <w:p>
      <w:pPr>
        <w:ind w:left="1000" w:hanging="493"/>
        <w:spacing w:after="0" w:line="263"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Parent’s 2017 Equity Incentive Program was assumed by Corsair and all of the outstanding options to acquire units under the Parent’s 2017 Equity Incentive Program were converted into options to purchase Corsair’s common stock on a pro rata basis with an adjusted exercise price to reflect the assumption.</w:t>
      </w:r>
    </w:p>
    <w:p>
      <w:pPr>
        <w:spacing w:after="0" w:line="75"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implemented a 1-for-28,693.596843964 stock split resulting in there being 84,405,366 shares of Corsair’s common stock outstanding and 10,029,388 options outstanding to purchase Corsair’s common stock as of the date of the Reorganization.</w:t>
      </w:r>
    </w:p>
    <w:p>
      <w:pPr>
        <w:spacing w:after="0" w:line="170"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As all legal entities included in the Reorganization are under common control of the Parent, all steps of the Reorganization were accounted for as a combination of entities under common control.</w:t>
      </w:r>
    </w:p>
    <w:p>
      <w:pPr>
        <w:spacing w:after="0" w:line="170"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Unless otherwise indicated, the accompanying condensed combined consolidated financial statements and related notes that reference Corsair’s capitalization, including other matters relating to equity, share, and per share information, have been retroactively revised to reflect the Reorganization for all periods presented. Accordingly, references in the footnotes related to transactions entered into by the Parent involving the Parent’s units or options to purchase the Parent’s units have been revised as common share equivalents of Corsair and options to purchase shares of Corsair’s common stock using the ratio of Corsair’s issued and outstanding shares immediately post-Reorganization to the Parent’s issued and outstanding units immediately post-Reorganization but prior to the unit exchanges described above.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31"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 xml:space="preserve">On September 25, 2020, we completed our initial public offering </w:t>
      </w:r>
      <w:r>
        <w:rPr>
          <w:rFonts w:ascii="Arial" w:cs="Arial" w:eastAsia="Arial" w:hAnsi="Arial"/>
          <w:sz w:val="18"/>
          <w:szCs w:val="18"/>
          <w:i w:val="1"/>
          <w:iCs w:val="1"/>
          <w:color w:val="auto"/>
        </w:rPr>
        <w:t>(IPO)</w:t>
      </w:r>
      <w:r>
        <w:rPr>
          <w:rFonts w:ascii="Arial" w:cs="Arial" w:eastAsia="Arial" w:hAnsi="Arial"/>
          <w:sz w:val="18"/>
          <w:szCs w:val="18"/>
          <w:color w:val="auto"/>
        </w:rPr>
        <w:t xml:space="preserve">. </w:t>
      </w:r>
      <w:r>
        <w:rPr>
          <w:rFonts w:ascii="Arial" w:cs="Arial" w:eastAsia="Arial" w:hAnsi="Arial"/>
          <w:sz w:val="18"/>
          <w:szCs w:val="18"/>
          <w:color w:val="3B3838"/>
        </w:rPr>
        <w:t>In connection with the IPO, we sold 7,500,000 shares of common stock at</w:t>
      </w:r>
      <w:r>
        <w:rPr>
          <w:rFonts w:ascii="Arial" w:cs="Arial" w:eastAsia="Arial" w:hAnsi="Arial"/>
          <w:sz w:val="18"/>
          <w:szCs w:val="18"/>
          <w:color w:val="auto"/>
        </w:rPr>
        <w:t xml:space="preserve"> </w:t>
      </w:r>
      <w:r>
        <w:rPr>
          <w:rFonts w:ascii="Arial" w:cs="Arial" w:eastAsia="Arial" w:hAnsi="Arial"/>
          <w:sz w:val="18"/>
          <w:szCs w:val="18"/>
          <w:color w:val="3B3838"/>
        </w:rPr>
        <w:t>$17.00 per share, resulting in proceeds of $118.6 million, net of the underwriting discounts and commissions and before offering costs. In connection with the IPO, certain stockholders sold 6,500,000 shares of common stock at $17.00 per share. Subsequent to the IPO, certain stockholders further sold 1,135,375 shares pursuant to the underwriters’ exercise of their option to purchase additional shares. We did not receive any of the proceeds from the sale of shares by the selling stockholders.</w:t>
      </w:r>
    </w:p>
    <w:p>
      <w:pPr>
        <w:spacing w:after="0" w:line="188"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Deferred offering costs consist primarily of accounting, legal, and other fees related to the IPO. Prior to the IPO, all deferred offering costs were capitalized in other assets in the condensed combined consolidated balance sheets. After the IPO, $11.8 million of deferred offering costs were reclassified into stockholders’ equity as a reduction of the IPO proceeds in the condensed combined consolidated balance sheets. The amount of deferred offering costs capitalized as of December 31, 2019 was $5.8 million.</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 xml:space="preserve">Our interim condensed combined consolidated financial statements have been prepared in accordance with U.S. generally accepted accounting principles </w:t>
      </w:r>
      <w:r>
        <w:rPr>
          <w:rFonts w:ascii="Arial" w:cs="Arial" w:eastAsia="Arial" w:hAnsi="Arial"/>
          <w:sz w:val="16"/>
          <w:szCs w:val="16"/>
          <w:i w:val="1"/>
          <w:iCs w:val="1"/>
          <w:color w:val="auto"/>
        </w:rPr>
        <w:t>(“U.S. GAAP”)</w:t>
      </w:r>
      <w:r>
        <w:rPr>
          <w:rFonts w:ascii="Arial" w:cs="Arial" w:eastAsia="Arial" w:hAnsi="Arial"/>
          <w:sz w:val="16"/>
          <w:szCs w:val="16"/>
          <w:color w:val="auto"/>
        </w:rPr>
        <w:t xml:space="preserve"> and applicable rules and regulations of the U.S. Securities and Exchange Commission </w:t>
      </w:r>
      <w:r>
        <w:rPr>
          <w:rFonts w:ascii="Arial" w:cs="Arial" w:eastAsia="Arial" w:hAnsi="Arial"/>
          <w:sz w:val="16"/>
          <w:szCs w:val="16"/>
          <w:i w:val="1"/>
          <w:iCs w:val="1"/>
          <w:color w:val="auto"/>
        </w:rPr>
        <w:t>(“SEC”)</w:t>
      </w:r>
      <w:r>
        <w:rPr>
          <w:rFonts w:ascii="Arial" w:cs="Arial" w:eastAsia="Arial" w:hAnsi="Arial"/>
          <w:sz w:val="16"/>
          <w:szCs w:val="16"/>
          <w:color w:val="auto"/>
        </w:rPr>
        <w:t xml:space="preserve"> regarding interim financial reporting. The condensed combined consolidated balance sheet as of December 31, 2019, included herein, was derived from the audited consolidated financial statements as of that date. Certain information and note disclosures normally included in the financial statements prepared in accordance with U.S. GAAP have been condensed combined or omitted pursuant to such rules and regulations. Therefore, these interim condensed combined consolidated financial statements should be read in conjunction with the consolidated financial statements and notes included in the final prospectus dated and filed on September 24, 2020 </w:t>
      </w:r>
      <w:r>
        <w:rPr>
          <w:rFonts w:ascii="Arial" w:cs="Arial" w:eastAsia="Arial" w:hAnsi="Arial"/>
          <w:sz w:val="16"/>
          <w:szCs w:val="16"/>
          <w:i w:val="1"/>
          <w:iCs w:val="1"/>
          <w:color w:val="auto"/>
        </w:rPr>
        <w:t>(the “Prospectus”)</w:t>
      </w:r>
      <w:r>
        <w:rPr>
          <w:rFonts w:ascii="Arial" w:cs="Arial" w:eastAsia="Arial" w:hAnsi="Arial"/>
          <w:sz w:val="16"/>
          <w:szCs w:val="16"/>
          <w:color w:val="auto"/>
        </w:rPr>
        <w:t xml:space="preserve"> with the SEC pursuant to Rule 424(b)(4) under the Securities Act of 1933, as amended</w:t>
      </w:r>
      <w:r>
        <w:rPr>
          <w:rFonts w:ascii="Arial" w:cs="Arial" w:eastAsia="Arial" w:hAnsi="Arial"/>
          <w:sz w:val="16"/>
          <w:szCs w:val="16"/>
          <w:i w:val="1"/>
          <w:iCs w:val="1"/>
          <w:color w:val="auto"/>
        </w:rPr>
        <w:t>, (the “Securities Act”)</w:t>
      </w:r>
      <w:r>
        <w:rPr>
          <w:rFonts w:ascii="Arial" w:cs="Arial" w:eastAsia="Arial" w:hAnsi="Arial"/>
          <w:sz w:val="16"/>
          <w:szCs w:val="16"/>
          <w:color w:val="auto"/>
        </w:rPr>
        <w:t>.</w:t>
      </w:r>
    </w:p>
    <w:p>
      <w:pPr>
        <w:spacing w:after="0" w:line="166"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interim condensed combined consolidated financial statements have been prepared on the same basis as the audited consolidated financial statements, and in management’s opinion, include all adjustments, which consist of only normal recurring adjustments necessary for the fair statement of our condensed combined consolidated balance sheet as of September 30, 2020 and our results of operations for the three and nine months ended September 30, 2020 and 2019. The results for the three and nine months ended September 30, 2020 are not necessarily indicative of the results expected for the current fiscal year or any other future periods.</w:t>
      </w:r>
    </w:p>
    <w:p>
      <w:pPr>
        <w:spacing w:after="0" w:line="188"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Except as described elsewhere to the condensed combined consolidated financial statements, there have been no material changes to our significant accounting policies as described in Note 2 “Summary of Significant Accounting Policies” in the Notes to the consolidated financial statements in our Prospectus.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The accompanying condensed combined consolidated financial statements include the accounts of Corsair and its wholly owned subsidiaries. All intercompany accounts and transactions have been eliminated in consolidation.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The preparation of condensed combined consolidated financial statements in conformity with U.S. GAAP requires management to make estimates and assumptions that affect the reported amounts of assets and liabilities and disclosure of contingent assets and liabilities as of the date of the condensed combined consolidated financial statements and the reported amounts of revenues and expenses during the reporting period. Such estimates include, but are not limited to, the valuation of intangible assets, accounts receivable, sales return reserves, reserves for customer incentives, warranty reserves, inventory, derivative instruments, stock-based compensation, deferred income tax, and common stock (prior to the IPO completed in September 2020). These estimates and assumptions are based on management’s best estimates and judgment. Management evaluates its estimates and assumptions on an ongoing basis using historical experience and other factors, including the current economic environment. We adjust such estimates and assumptions when facts and circumstances dictate. As future events and their effects cannot be determined with precision, actual results could differ significantly from these estimates.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 related to the COVID-19 Pandemic</w:t>
      </w:r>
    </w:p>
    <w:p>
      <w:pPr>
        <w:spacing w:after="0" w:line="117"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Due to the COVID-19 pandemic, there has been and will continue to be uncertainty and disruption in the global economy and financial markets. Since early 2020, we have experienced some business disruptions due to COVID-19 including the stoppage in our factories in early 2020, disruption in our supply chain and increased distribution costs, which led to increase in operating costs. This negative financial impact has been offset by strong revenue growth year-over-year partly due to an increase in demand for our gear as more people in more countries are under shelter-in-place restrictions. The increase in demand has continued into the third quarter of 2020 and we expect it to continue through the remainder of the year as the COVID-19 pandemic continues. However, as the global economic activity slows down, the demand for our gear could decline despite these trends. The extent to which the COVID-19 outbreak ultimately impacts our business, sales, results of operations and financial condition will depend on future developments, which are highly uncertain and cannot be predicted, including, but not limited to, the duration and spread of the outbreak, its severity, the actions to contain the virus or treat its impact, and how quickly and to what extent normal economic and operating conditions can resume. Even after the COVID-19 outbreak has subsided, we may continue to experience significant impacts to our business as a result of its global economic impact, including any economic downturn or recession that has occurred or may occur in the future.</w:t>
      </w:r>
    </w:p>
    <w:p>
      <w:pPr>
        <w:spacing w:after="0" w:line="182"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As of the date of issuance of these condensed combined consolidated financial statements, we are not aware of any specific event or circumstance that would require updates to our estimates and judgments or revisions due to COVID-19 to the carrying value of our assets or liabilities. These estimates may change, as new events occur and additional information is obtained, and are recognized in the condensed combined consolidated financial statements as soon as they become known. Actual results could differ from those estimates and any such differences may be material to the condensed combined consolidated financial statements.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17" w:lineRule="exact"/>
        <w:rPr>
          <w:sz w:val="20"/>
          <w:szCs w:val="20"/>
          <w:color w:val="auto"/>
        </w:rPr>
      </w:pPr>
    </w:p>
    <w:p>
      <w:pPr>
        <w:ind w:firstLine="510"/>
        <w:spacing w:after="0" w:line="286" w:lineRule="auto"/>
        <w:rPr>
          <w:sz w:val="20"/>
          <w:szCs w:val="20"/>
          <w:color w:val="auto"/>
        </w:rPr>
      </w:pPr>
      <w:r>
        <w:rPr>
          <w:rFonts w:ascii="Arial" w:cs="Arial" w:eastAsia="Arial" w:hAnsi="Arial"/>
          <w:sz w:val="17"/>
          <w:szCs w:val="17"/>
          <w:color w:val="auto"/>
        </w:rPr>
        <w:t>Advertising costs are expensed as incurred and are included as a component of sales, general and administrative expense in the condensed combined consolidated statements of operations. Advertising and promotion expenses were $4.1 million and $2.6 million for the three months ended September 30, 2020 and 2019, respectively, and $12.3 million and $7.4 million for nine months ended September 30, 2020 and 2019, respectively.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Nonmonetary Transactions</w:t>
      </w:r>
    </w:p>
    <w:p>
      <w:pPr>
        <w:spacing w:after="0" w:line="117" w:lineRule="exact"/>
        <w:rPr>
          <w:sz w:val="20"/>
          <w:szCs w:val="20"/>
          <w:color w:val="auto"/>
        </w:rPr>
      </w:pPr>
    </w:p>
    <w:p>
      <w:pPr>
        <w:ind w:right="80" w:firstLine="510"/>
        <w:spacing w:after="0" w:line="272" w:lineRule="auto"/>
        <w:rPr>
          <w:sz w:val="20"/>
          <w:szCs w:val="20"/>
          <w:color w:val="auto"/>
        </w:rPr>
      </w:pPr>
      <w:r>
        <w:rPr>
          <w:rFonts w:ascii="Arial" w:cs="Arial" w:eastAsia="Arial" w:hAnsi="Arial"/>
          <w:sz w:val="17"/>
          <w:szCs w:val="17"/>
          <w:color w:val="auto"/>
        </w:rPr>
        <w:t>We have sales and repurchases of inventory with our manufacturers, which are accounted for as nonmonetary transactions. Upon sale of raw materials to the manufacturer, for the inventories on-hand with the manufacturer where there is an anticipated reciprocal purchase by Corsair, we will record prepaid inventories and accrued liabilities as a nonmonetary transaction. When the reciprocal purchase of inventory from the manufacturer is transacted, a payable to the manufacturer at the repurchase price will be recorded, which replaces the initial nonmonetary transaction and inventory will be reflected at carrying value, which includes the costs for the raw materials and the incremental costs charged by the manufacturer for additional work performed on the inventory. As of September 30, 2020, we recognized $2.1 million prepaid inventory and $2.4 million accrued liabilities in the condensed combined consolidated balance sheet for such nonmonetary transactions with our manufacturers.</w:t>
      </w:r>
    </w:p>
    <w:p>
      <w:pPr>
        <w:spacing w:after="0" w:line="177"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 xml:space="preserve">Because the transactions are nonmonetary, they have not been included in the condensed combined consolidated statements of cash flows pursuant to ASC 230, </w:t>
      </w:r>
      <w:r>
        <w:rPr>
          <w:rFonts w:ascii="Arial" w:cs="Arial" w:eastAsia="Arial" w:hAnsi="Arial"/>
          <w:sz w:val="18"/>
          <w:szCs w:val="18"/>
          <w:i w:val="1"/>
          <w:iCs w:val="1"/>
          <w:color w:val="auto"/>
        </w:rPr>
        <w:t>Statement of Cash Flows</w:t>
      </w:r>
      <w:r>
        <w:rPr>
          <w:rFonts w:ascii="Arial" w:cs="Arial" w:eastAsia="Arial" w:hAnsi="Arial"/>
          <w:sz w:val="18"/>
          <w:szCs w:val="18"/>
          <w:color w:val="auto"/>
        </w:rPr>
        <w: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which was further updated and clarified by the FASB through issuance of additional related ASUs. ASU 2016-13 replaces the incurred-loss</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methodology and requires immediate recognition of estimated credit losses expected to occur for most financial assets, including trade receivables. We adopted this standard effective January 1, 2020 using a modified retrospective approach. The adoption of this new standard did not have a material impact on our condensed combined consolidated financial statements.</w:t>
      </w:r>
    </w:p>
    <w:p>
      <w:pPr>
        <w:spacing w:after="0" w:line="188"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 – Goodwill and Other (Topic 350): Simplifying the Test for Goodwill Impairment</w:t>
      </w:r>
      <w:r>
        <w:rPr>
          <w:rFonts w:ascii="Arial" w:cs="Arial" w:eastAsia="Arial" w:hAnsi="Arial"/>
          <w:sz w:val="18"/>
          <w:szCs w:val="18"/>
          <w:color w:val="auto"/>
        </w:rPr>
        <w:t>. The ASU simplifies the subsequent measurement of goodwill by eliminating the second step of the goodwill impairment test. The second step measures goodwill impairment loss by comparing the implied fair value of a reporting unit’s goodwill with the carrying amount of that goodwill. Under the new guidance, a company will record an impairment charge based on the excess of a reporting unit’s carrying amount over its fair value. We adopted this standard effective January 1, 2020. The adoption of this new standard did not have a material impact on our condensed combined consolidated financial statements.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ind w:right="120" w:firstLine="510"/>
        <w:spacing w:after="0" w:line="263"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w:t>
      </w:r>
      <w:r>
        <w:rPr>
          <w:rFonts w:ascii="Arial" w:cs="Arial" w:eastAsia="Arial" w:hAnsi="Arial"/>
          <w:sz w:val="18"/>
          <w:szCs w:val="18"/>
          <w:color w:val="auto"/>
        </w:rPr>
        <w:t>, to modify certain disclosure requirements on fair value measurements in Topic 820. We adopted this standard effective January 1, 2020. The adoption of this new standard did not have a material impact on our condensed combined consolidated financial statements.</w:t>
      </w:r>
    </w:p>
    <w:p>
      <w:pPr>
        <w:spacing w:after="0" w:line="184"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and subsequent updates (collectively, referred to as Accounting Standard Codification 842 or Topic 842). Topic 842 requires a lessee to recognize right of use (</w:t>
      </w:r>
      <w:r>
        <w:rPr>
          <w:rFonts w:ascii="Arial" w:cs="Arial" w:eastAsia="Arial" w:hAnsi="Arial"/>
          <w:sz w:val="17"/>
          <w:szCs w:val="17"/>
          <w:i w:val="1"/>
          <w:iCs w:val="1"/>
          <w:color w:val="auto"/>
        </w:rPr>
        <w:t>“ROU”</w:t>
      </w:r>
      <w:r>
        <w:rPr>
          <w:rFonts w:ascii="Arial" w:cs="Arial" w:eastAsia="Arial" w:hAnsi="Arial"/>
          <w:sz w:val="17"/>
          <w:szCs w:val="17"/>
          <w:color w:val="auto"/>
        </w:rPr>
        <w:t>) assets and lease liabilities for a lease with terms longer than 12 months on the consolidated balance sheets and to disclose key information related to the leasing arrangements.</w:t>
      </w:r>
    </w:p>
    <w:p>
      <w:pPr>
        <w:spacing w:after="0" w:line="165" w:lineRule="exact"/>
        <w:rPr>
          <w:sz w:val="20"/>
          <w:szCs w:val="20"/>
          <w:color w:val="auto"/>
        </w:rPr>
      </w:pPr>
    </w:p>
    <w:p>
      <w:pPr>
        <w:ind w:right="200" w:firstLine="510"/>
        <w:spacing w:after="0" w:line="273" w:lineRule="auto"/>
        <w:rPr>
          <w:sz w:val="20"/>
          <w:szCs w:val="20"/>
          <w:color w:val="auto"/>
        </w:rPr>
      </w:pPr>
      <w:r>
        <w:rPr>
          <w:rFonts w:ascii="Arial" w:cs="Arial" w:eastAsia="Arial" w:hAnsi="Arial"/>
          <w:sz w:val="17"/>
          <w:szCs w:val="17"/>
          <w:color w:val="auto"/>
        </w:rPr>
        <w:t>On January 1, 2020, we adopted Topic 842 using the modified retrospective method, applying Topic 842 to all leases existing at the date of initial application. We elected to use the effective date as the date of initial application. Consequently, prior period balances and disclosures have not been restated. We elected the package of transitional practical expedients, which among other provisions, allows us to carry forward prior conclusions about lease identification and classification. In addition, for operating leases, we elected to account for lease and non-lease components as a single lease component. We also made an accounting policy election not to apply the recognition guidance of Topic 842 to record all leases that, at the lease commencement date, have a lease term of 12 months or less on the consolidated balance sheet.</w:t>
      </w:r>
    </w:p>
    <w:p>
      <w:pPr>
        <w:spacing w:after="0" w:line="178" w:lineRule="exact"/>
        <w:rPr>
          <w:sz w:val="20"/>
          <w:szCs w:val="20"/>
          <w:color w:val="auto"/>
        </w:rPr>
      </w:pPr>
    </w:p>
    <w:p>
      <w:pPr>
        <w:ind w:right="380" w:firstLine="510"/>
        <w:spacing w:after="0" w:line="286" w:lineRule="auto"/>
        <w:rPr>
          <w:sz w:val="20"/>
          <w:szCs w:val="20"/>
          <w:color w:val="auto"/>
        </w:rPr>
      </w:pPr>
      <w:r>
        <w:rPr>
          <w:rFonts w:ascii="Arial" w:cs="Arial" w:eastAsia="Arial" w:hAnsi="Arial"/>
          <w:sz w:val="17"/>
          <w:szCs w:val="17"/>
          <w:color w:val="auto"/>
        </w:rPr>
        <w:t>The adoption of Topic 842 had a material impact to our condensed combined consolidated balance sheet but did not have an impact on our condensed combined consolidated statement of operations or cash flows. As a result of adopting Topic 842 as of January 1, 2020, we recognized lease liabilities of $17.9 million and corresponding ROU assets of $17.7 million. See Note 16, Leases, for additional information.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Issued but Not Yet Adopted</w:t>
      </w:r>
    </w:p>
    <w:p>
      <w:pPr>
        <w:spacing w:after="0" w:line="117"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In December 2019, the FASB issued ASU No. 2019-12</w:t>
      </w:r>
      <w:r>
        <w:rPr>
          <w:rFonts w:ascii="Arial" w:cs="Arial" w:eastAsia="Arial" w:hAnsi="Arial"/>
          <w:sz w:val="18"/>
          <w:szCs w:val="18"/>
          <w:i w:val="1"/>
          <w:iCs w:val="1"/>
          <w:color w:val="auto"/>
        </w:rPr>
        <w:t>, Income Taxes (Topic 740)</w:t>
      </w:r>
      <w:r>
        <w:rPr>
          <w:rFonts w:ascii="Arial" w:cs="Arial" w:eastAsia="Arial" w:hAnsi="Arial"/>
          <w:sz w:val="18"/>
          <w:szCs w:val="18"/>
          <w:color w:val="auto"/>
        </w:rPr>
        <w:t>, to simplify various aspects related to the accounting for income taxes. The new guidance is effective for us beginning in year 2021. We are in the process of evaluating the effects of this new guidance on our condensed combined consolidated financial statements.</w:t>
      </w:r>
    </w:p>
    <w:p>
      <w:pPr>
        <w:spacing w:after="0" w:line="184"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 xml:space="preserve">In March 2020, the FASB issued ASU No. 2020-04, </w:t>
      </w:r>
      <w:r>
        <w:rPr>
          <w:rFonts w:ascii="Arial" w:cs="Arial" w:eastAsia="Arial" w:hAnsi="Arial"/>
          <w:sz w:val="17"/>
          <w:szCs w:val="17"/>
          <w:i w:val="1"/>
          <w:iCs w:val="1"/>
          <w:color w:val="auto"/>
        </w:rPr>
        <w:t>Reference Rate Reform (Topic 848)</w:t>
      </w:r>
      <w:r>
        <w:rPr>
          <w:rFonts w:ascii="Arial" w:cs="Arial" w:eastAsia="Arial" w:hAnsi="Arial"/>
          <w:sz w:val="17"/>
          <w:szCs w:val="17"/>
          <w:color w:val="auto"/>
        </w:rPr>
        <w:t>, to provide optional expedients and exceptions for applying generally accepted accounting principles to contracts, hedging relationships, and other transactions affected by reference rate reform if certain criteria are met. The new guidance is effective, at our election, beginning March 12, 2020 through December 31, 2022. Our term loan and revolving line of credit have interest payments that are correlated to a reference rate, and we are currently evaluating the impact of adopting this guidance and the potential effects it could have on our condensed combined consolidated financial statements.</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w:t>
      </w:r>
    </w:p>
    <w:p>
      <w:pPr>
        <w:spacing w:after="0" w:line="121" w:lineRule="exact"/>
        <w:rPr>
          <w:sz w:val="20"/>
          <w:szCs w:val="20"/>
          <w:color w:val="auto"/>
        </w:rPr>
      </w:pPr>
    </w:p>
    <w:p>
      <w:pPr>
        <w:ind w:right="280" w:firstLine="510"/>
        <w:spacing w:after="0" w:line="263" w:lineRule="auto"/>
        <w:rPr>
          <w:sz w:val="20"/>
          <w:szCs w:val="20"/>
          <w:color w:val="auto"/>
        </w:rPr>
      </w:pPr>
      <w:r>
        <w:rPr>
          <w:rFonts w:ascii="Arial" w:cs="Arial" w:eastAsia="Arial" w:hAnsi="Arial"/>
          <w:sz w:val="18"/>
          <w:szCs w:val="18"/>
          <w:color w:val="auto"/>
        </w:rPr>
        <w:t>U.S. GAAP establishes a fair value hierarchy which requires an entity to maximize the use of observable inputs and minimize the use of unobservable inputs when measuring fair value. The hierarchy is broken down into the following three levels of inputs that may be used to measure fair value:</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are available in active markets for identical assets or liabilities as of the measurement date.</w:t>
      </w:r>
    </w:p>
    <w:p>
      <w:pPr>
        <w:spacing w:after="0" w:line="225" w:lineRule="exact"/>
        <w:rPr>
          <w:sz w:val="20"/>
          <w:szCs w:val="20"/>
          <w:color w:val="auto"/>
        </w:rPr>
      </w:pPr>
    </w:p>
    <w:p>
      <w:pPr>
        <w:jc w:val="both"/>
        <w:ind w:right="240" w:firstLine="510"/>
        <w:spacing w:after="0" w:line="263"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—Pricing inputs are other than quoted prices in active market, which are either directly or indirectly observable as of the report date. The</w:t>
      </w:r>
      <w:r>
        <w:rPr>
          <w:rFonts w:ascii="Arial" w:cs="Arial" w:eastAsia="Arial" w:hAnsi="Arial"/>
          <w:sz w:val="18"/>
          <w:szCs w:val="18"/>
          <w:i w:val="1"/>
          <w:iCs w:val="1"/>
          <w:color w:val="auto"/>
        </w:rPr>
        <w:t xml:space="preserve"> </w:t>
      </w:r>
      <w:r>
        <w:rPr>
          <w:rFonts w:ascii="Arial" w:cs="Arial" w:eastAsia="Arial" w:hAnsi="Arial"/>
          <w:sz w:val="18"/>
          <w:szCs w:val="18"/>
          <w:color w:val="auto"/>
        </w:rPr>
        <w:t>nature of these securities includes investments for which quoted prices are available but traded less frequently and investments that are fair valued using other securities, the parameters of which can be directly observed.</w:t>
      </w:r>
    </w:p>
    <w:p>
      <w:pPr>
        <w:spacing w:after="0" w:line="184" w:lineRule="exact"/>
        <w:rPr>
          <w:sz w:val="20"/>
          <w:szCs w:val="20"/>
          <w:color w:val="auto"/>
        </w:rPr>
      </w:pPr>
    </w:p>
    <w:p>
      <w:pPr>
        <w:ind w:right="20" w:firstLine="510"/>
        <w:spacing w:after="0" w:line="342" w:lineRule="auto"/>
        <w:rPr>
          <w:sz w:val="20"/>
          <w:szCs w:val="20"/>
          <w:color w:val="auto"/>
        </w:rPr>
      </w:pPr>
      <w:r>
        <w:rPr>
          <w:rFonts w:ascii="Arial" w:cs="Arial" w:eastAsia="Arial" w:hAnsi="Arial"/>
          <w:sz w:val="16"/>
          <w:szCs w:val="16"/>
          <w:i w:val="1"/>
          <w:iCs w:val="1"/>
          <w:color w:val="auto"/>
        </w:rPr>
        <w:t>Level 3</w:t>
      </w:r>
      <w:r>
        <w:rPr>
          <w:rFonts w:ascii="Arial" w:cs="Arial" w:eastAsia="Arial" w:hAnsi="Arial"/>
          <w:sz w:val="16"/>
          <w:szCs w:val="16"/>
          <w:color w:val="auto"/>
        </w:rPr>
        <w:t>—Securities that have little to no pricing observability as of the report date. These securities are measured using management’s best estimate</w:t>
      </w:r>
      <w:r>
        <w:rPr>
          <w:rFonts w:ascii="Arial" w:cs="Arial" w:eastAsia="Arial" w:hAnsi="Arial"/>
          <w:sz w:val="16"/>
          <w:szCs w:val="16"/>
          <w:i w:val="1"/>
          <w:iCs w:val="1"/>
          <w:color w:val="auto"/>
        </w:rPr>
        <w:t xml:space="preserve"> </w:t>
      </w:r>
      <w:r>
        <w:rPr>
          <w:rFonts w:ascii="Arial" w:cs="Arial" w:eastAsia="Arial" w:hAnsi="Arial"/>
          <w:sz w:val="16"/>
          <w:szCs w:val="16"/>
          <w:color w:val="auto"/>
        </w:rPr>
        <w:t>of fair value, where the inputs into the determination of fair value are not observable and require significant management judgment or estimation.</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The following tables summarize our financial assets and liabilities that were measured at fair value on a recurring basis, and indicate the fair value hierarchy of the valuation inputs utilized to determine such fair value:</w:t>
      </w:r>
    </w:p>
    <w:p>
      <w:pPr>
        <w:sectPr>
          <w:pgSz w:w="11900" w:h="16838" w:orient="portrait"/>
          <w:cols w:equalWidth="0" w:num="1">
            <w:col w:w="11160"/>
          </w:cols>
          <w:pgMar w:left="320" w:top="121"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Interest rate cap contract</w:t>
      </w:r>
      <w:r>
        <w:rPr>
          <w:rFonts w:ascii="Arial" w:cs="Arial" w:eastAsia="Arial" w:hAnsi="Arial"/>
          <w:sz w:val="15"/>
          <w:szCs w:val="15"/>
          <w:color w:val="auto"/>
        </w:rPr>
        <w:t>(4)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forward contracts</w:t>
      </w:r>
      <w:r>
        <w:rPr>
          <w:rFonts w:ascii="Arial" w:cs="Arial" w:eastAsia="Arial" w:hAnsi="Arial"/>
          <w:sz w:val="15"/>
          <w:szCs w:val="15"/>
          <w:color w:val="auto"/>
        </w:rPr>
        <w:t>(4)</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Total assets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w:t>
      </w:r>
    </w:p>
    <w:p>
      <w:pPr>
        <w:spacing w:after="0" w:line="27" w:lineRule="exact"/>
        <w:rPr>
          <w:sz w:val="20"/>
          <w:szCs w:val="20"/>
          <w:color w:val="auto"/>
        </w:rPr>
      </w:pPr>
    </w:p>
    <w:p>
      <w:pPr>
        <w:ind w:left="140" w:right="1780" w:hanging="134"/>
        <w:spacing w:after="0" w:line="258" w:lineRule="auto"/>
        <w:rPr>
          <w:sz w:val="20"/>
          <w:szCs w:val="20"/>
          <w:color w:val="auto"/>
        </w:rPr>
      </w:pPr>
      <w:r>
        <w:rPr>
          <w:rFonts w:ascii="Arial" w:cs="Arial" w:eastAsia="Arial" w:hAnsi="Arial"/>
          <w:sz w:val="18"/>
          <w:szCs w:val="18"/>
          <w:color w:val="auto"/>
        </w:rPr>
        <w:t>Contingent consideration in connection with a business acquisition—Origin</w:t>
      </w:r>
      <w:r>
        <w:rPr>
          <w:rFonts w:ascii="Arial" w:cs="Arial" w:eastAsia="Arial" w:hAnsi="Arial"/>
          <w:sz w:val="15"/>
          <w:szCs w:val="15"/>
          <w:color w:val="auto"/>
        </w:rPr>
        <w:t>(1)</w:t>
      </w:r>
    </w:p>
    <w:p>
      <w:pPr>
        <w:ind w:left="140" w:right="880" w:hanging="134"/>
        <w:spacing w:after="0" w:line="258" w:lineRule="auto"/>
        <w:rPr>
          <w:sz w:val="20"/>
          <w:szCs w:val="20"/>
          <w:color w:val="auto"/>
        </w:rPr>
      </w:pPr>
      <w:r>
        <w:rPr>
          <w:rFonts w:ascii="Arial" w:cs="Arial" w:eastAsia="Arial" w:hAnsi="Arial"/>
          <w:sz w:val="18"/>
          <w:szCs w:val="18"/>
          <w:color w:val="auto"/>
        </w:rPr>
        <w:t>Contingent consideration in connection with an immaterial business acquisition</w:t>
      </w:r>
    </w:p>
    <w:p>
      <w:pPr>
        <w:ind w:left="140" w:right="1580" w:hanging="134"/>
        <w:spacing w:after="0" w:line="258" w:lineRule="auto"/>
        <w:rPr>
          <w:sz w:val="20"/>
          <w:szCs w:val="20"/>
          <w:color w:val="auto"/>
        </w:rPr>
      </w:pPr>
      <w:r>
        <w:rPr>
          <w:rFonts w:ascii="Arial" w:cs="Arial" w:eastAsia="Arial" w:hAnsi="Arial"/>
          <w:sz w:val="18"/>
          <w:szCs w:val="18"/>
          <w:color w:val="auto"/>
        </w:rPr>
        <w:t>Deferred cash consideration in connection with a business acquisition—SCUF</w:t>
      </w:r>
      <w:r>
        <w:rPr>
          <w:rFonts w:ascii="Arial" w:cs="Arial" w:eastAsia="Arial" w:hAnsi="Arial"/>
          <w:sz w:val="15"/>
          <w:szCs w:val="15"/>
          <w:color w:val="auto"/>
        </w:rPr>
        <w:t>(2)</w:t>
      </w:r>
    </w:p>
    <w:p>
      <w:pPr>
        <w:ind w:left="140" w:right="1580" w:hanging="134"/>
        <w:spacing w:after="0" w:line="258" w:lineRule="auto"/>
        <w:rPr>
          <w:sz w:val="20"/>
          <w:szCs w:val="20"/>
          <w:color w:val="auto"/>
        </w:rPr>
      </w:pPr>
      <w:r>
        <w:rPr>
          <w:rFonts w:ascii="Arial" w:cs="Arial" w:eastAsia="Arial" w:hAnsi="Arial"/>
          <w:sz w:val="18"/>
          <w:szCs w:val="18"/>
          <w:color w:val="auto"/>
        </w:rPr>
        <w:t>Deferred cash consideration in connection with a business acquisition—Origin</w:t>
      </w:r>
      <w:r>
        <w:rPr>
          <w:rFonts w:ascii="Arial" w:cs="Arial" w:eastAsia="Arial" w:hAnsi="Arial"/>
          <w:sz w:val="15"/>
          <w:szCs w:val="15"/>
          <w:color w:val="auto"/>
        </w:rPr>
        <w:t>(3)</w:t>
      </w:r>
    </w:p>
    <w:p>
      <w:pPr>
        <w:spacing w:after="0"/>
        <w:rPr>
          <w:sz w:val="20"/>
          <w:szCs w:val="20"/>
          <w:color w:val="auto"/>
        </w:rPr>
      </w:pPr>
      <w:r>
        <w:rPr>
          <w:rFonts w:ascii="Arial" w:cs="Arial" w:eastAsia="Arial" w:hAnsi="Arial"/>
          <w:sz w:val="18"/>
          <w:szCs w:val="18"/>
          <w:color w:val="auto"/>
        </w:rPr>
        <w:t>Foreign currency forward contracts</w:t>
      </w:r>
      <w:r>
        <w:rPr>
          <w:rFonts w:ascii="Arial" w:cs="Arial" w:eastAsia="Arial" w:hAnsi="Arial"/>
          <w:sz w:val="15"/>
          <w:szCs w:val="15"/>
          <w:color w:val="auto"/>
        </w:rPr>
        <w:t>(4)</w:t>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Total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w:t>
      </w:r>
    </w:p>
    <w:p>
      <w:pPr>
        <w:spacing w:after="0" w:line="27" w:lineRule="exact"/>
        <w:rPr>
          <w:sz w:val="20"/>
          <w:szCs w:val="20"/>
          <w:color w:val="auto"/>
        </w:rPr>
      </w:pPr>
    </w:p>
    <w:p>
      <w:pPr>
        <w:ind w:left="140" w:right="1780" w:hanging="134"/>
        <w:spacing w:after="0" w:line="258" w:lineRule="auto"/>
        <w:rPr>
          <w:sz w:val="20"/>
          <w:szCs w:val="20"/>
          <w:color w:val="auto"/>
        </w:rPr>
      </w:pPr>
      <w:r>
        <w:rPr>
          <w:rFonts w:ascii="Arial" w:cs="Arial" w:eastAsia="Arial" w:hAnsi="Arial"/>
          <w:sz w:val="18"/>
          <w:szCs w:val="18"/>
          <w:color w:val="auto"/>
        </w:rPr>
        <w:t>Contingent consideration in connection with a business acquisition—Origin</w:t>
      </w:r>
      <w:r>
        <w:rPr>
          <w:rFonts w:ascii="Arial" w:cs="Arial" w:eastAsia="Arial" w:hAnsi="Arial"/>
          <w:sz w:val="15"/>
          <w:szCs w:val="15"/>
          <w:color w:val="auto"/>
        </w:rPr>
        <w:t>(1)</w:t>
      </w:r>
    </w:p>
    <w:p>
      <w:pPr>
        <w:ind w:left="140" w:right="1580" w:hanging="134"/>
        <w:spacing w:after="0" w:line="258" w:lineRule="auto"/>
        <w:rPr>
          <w:sz w:val="20"/>
          <w:szCs w:val="20"/>
          <w:color w:val="auto"/>
        </w:rPr>
      </w:pPr>
      <w:r>
        <w:rPr>
          <w:rFonts w:ascii="Arial" w:cs="Arial" w:eastAsia="Arial" w:hAnsi="Arial"/>
          <w:sz w:val="18"/>
          <w:szCs w:val="18"/>
          <w:color w:val="auto"/>
        </w:rPr>
        <w:t>Deferred cash consideration in connection with a business acquisition—SCUF</w:t>
      </w:r>
      <w:r>
        <w:rPr>
          <w:rFonts w:ascii="Arial" w:cs="Arial" w:eastAsia="Arial" w:hAnsi="Arial"/>
          <w:sz w:val="15"/>
          <w:szCs w:val="15"/>
          <w:color w:val="auto"/>
        </w:rPr>
        <w:t>(2)</w:t>
      </w:r>
    </w:p>
    <w:p>
      <w:pPr>
        <w:ind w:left="140" w:right="1580" w:hanging="134"/>
        <w:spacing w:after="0" w:line="258" w:lineRule="auto"/>
        <w:rPr>
          <w:sz w:val="20"/>
          <w:szCs w:val="20"/>
          <w:color w:val="auto"/>
        </w:rPr>
      </w:pPr>
      <w:r>
        <w:rPr>
          <w:rFonts w:ascii="Arial" w:cs="Arial" w:eastAsia="Arial" w:hAnsi="Arial"/>
          <w:sz w:val="18"/>
          <w:szCs w:val="18"/>
          <w:color w:val="auto"/>
        </w:rPr>
        <w:t>Deferred cash consideration in connection with a business acquisition—Origin</w:t>
      </w:r>
      <w:r>
        <w:rPr>
          <w:rFonts w:ascii="Arial" w:cs="Arial" w:eastAsia="Arial" w:hAnsi="Arial"/>
          <w:sz w:val="15"/>
          <w:szCs w:val="15"/>
          <w:color w:val="auto"/>
        </w:rPr>
        <w:t>(3)</w:t>
      </w:r>
    </w:p>
    <w:p>
      <w:pPr>
        <w:spacing w:after="0"/>
        <w:rPr>
          <w:sz w:val="20"/>
          <w:szCs w:val="20"/>
          <w:color w:val="auto"/>
        </w:rPr>
      </w:pPr>
      <w:r>
        <w:rPr>
          <w:rFonts w:ascii="Arial" w:cs="Arial" w:eastAsia="Arial" w:hAnsi="Arial"/>
          <w:sz w:val="18"/>
          <w:szCs w:val="18"/>
          <w:color w:val="auto"/>
        </w:rPr>
        <w:t>Foreign currency forward contracts</w:t>
      </w:r>
      <w:r>
        <w:rPr>
          <w:rFonts w:ascii="Arial" w:cs="Arial" w:eastAsia="Arial" w:hAnsi="Arial"/>
          <w:sz w:val="15"/>
          <w:szCs w:val="15"/>
          <w:color w:val="auto"/>
        </w:rPr>
        <w:t>(4)</w:t>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19030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2040"/>
        <w:spacing w:after="0"/>
        <w:rPr>
          <w:sz w:val="20"/>
          <w:szCs w:val="20"/>
          <w:color w:val="auto"/>
        </w:rPr>
      </w:pPr>
      <w:r>
        <w:rPr>
          <w:rFonts w:ascii="Arial" w:cs="Arial" w:eastAsia="Arial" w:hAnsi="Arial"/>
          <w:sz w:val="14"/>
          <w:szCs w:val="14"/>
          <w:b w:val="1"/>
          <w:bCs w:val="1"/>
          <w:color w:val="auto"/>
        </w:rPr>
        <w:t>September 30, 2020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(Level 1)</w:t>
            </w:r>
          </w:p>
        </w:tc>
        <w:tc>
          <w:tcPr>
            <w:tcW w:w="18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1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(Level 3)</w:t>
            </w:r>
          </w:p>
        </w:tc>
        <w:tc>
          <w:tcPr>
            <w:tcW w:w="24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Total</w:t>
            </w:r>
          </w:p>
        </w:tc>
      </w:tr>
      <w:tr>
        <w:trPr>
          <w:trHeight w:val="180"/>
        </w:trPr>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40" w:type="dxa"/>
            <w:vAlign w:val="bottom"/>
            <w:gridSpan w:val="4"/>
          </w:tcPr>
          <w:p>
            <w:pPr>
              <w:jc w:val="center"/>
              <w:ind w:right="92"/>
              <w:spacing w:after="0"/>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434"/>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24"/>
                <w:szCs w:val="24"/>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200" w:type="dxa"/>
            <w:vAlign w:val="bottom"/>
          </w:tcPr>
          <w:p>
            <w:pPr>
              <w:spacing w:after="0"/>
              <w:rPr>
                <w:sz w:val="20"/>
                <w:szCs w:val="20"/>
                <w:color w:val="auto"/>
              </w:rPr>
            </w:pP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23"/>
        </w:trPr>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656"/>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2,078</w:t>
            </w:r>
          </w:p>
        </w:tc>
        <w:tc>
          <w:tcPr>
            <w:tcW w:w="500" w:type="dxa"/>
            <w:vAlign w:val="bottom"/>
            <w:gridSpan w:val="3"/>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2,078</w:t>
            </w:r>
          </w:p>
        </w:tc>
      </w:tr>
      <w:tr>
        <w:trPr>
          <w:trHeight w:val="445"/>
        </w:trPr>
        <w:tc>
          <w:tcPr>
            <w:tcW w:w="200" w:type="dxa"/>
            <w:vAlign w:val="bottom"/>
          </w:tcPr>
          <w:p>
            <w:pPr>
              <w:spacing w:after="0"/>
              <w:rPr>
                <w:sz w:val="24"/>
                <w:szCs w:val="24"/>
                <w:color w:val="auto"/>
              </w:rPr>
            </w:pP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500" w:type="dxa"/>
            <w:vAlign w:val="bottom"/>
            <w:gridSpan w:val="3"/>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46"/>
        </w:trPr>
        <w:tc>
          <w:tcPr>
            <w:tcW w:w="200" w:type="dxa"/>
            <w:vAlign w:val="bottom"/>
          </w:tcPr>
          <w:p>
            <w:pPr>
              <w:spacing w:after="0"/>
              <w:rPr>
                <w:sz w:val="24"/>
                <w:szCs w:val="24"/>
                <w:color w:val="auto"/>
              </w:rPr>
            </w:pP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1,638</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1,638</w:t>
            </w:r>
          </w:p>
        </w:tc>
      </w:tr>
      <w:tr>
        <w:trPr>
          <w:trHeight w:val="445"/>
        </w:trPr>
        <w:tc>
          <w:tcPr>
            <w:tcW w:w="200" w:type="dxa"/>
            <w:vAlign w:val="bottom"/>
          </w:tcPr>
          <w:p>
            <w:pPr>
              <w:spacing w:after="0"/>
              <w:rPr>
                <w:sz w:val="24"/>
                <w:szCs w:val="24"/>
                <w:color w:val="auto"/>
              </w:rPr>
            </w:pP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1,481</w:t>
            </w:r>
          </w:p>
        </w:tc>
      </w:tr>
      <w:tr>
        <w:trPr>
          <w:trHeight w:val="230"/>
        </w:trPr>
        <w:tc>
          <w:tcPr>
            <w:tcW w:w="200" w:type="dxa"/>
            <w:vAlign w:val="bottom"/>
          </w:tcPr>
          <w:p>
            <w:pPr>
              <w:spacing w:after="0"/>
              <w:rPr>
                <w:sz w:val="20"/>
                <w:szCs w:val="20"/>
                <w:color w:val="auto"/>
              </w:rPr>
            </w:pP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378</w:t>
            </w:r>
          </w:p>
        </w:tc>
      </w:tr>
      <w:tr>
        <w:trPr>
          <w:trHeight w:val="223"/>
        </w:trPr>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5,584</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26"/>
        </w:trPr>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jc w:val="center"/>
              <w:ind w:right="92"/>
              <w:spacing w:after="0"/>
              <w:rPr>
                <w:sz w:val="20"/>
                <w:szCs w:val="20"/>
                <w:color w:val="auto"/>
              </w:rPr>
            </w:pPr>
            <w:r>
              <w:rPr>
                <w:rFonts w:ascii="Arial" w:cs="Arial" w:eastAsia="Arial" w:hAnsi="Arial"/>
                <w:sz w:val="14"/>
                <w:szCs w:val="14"/>
                <w:b w:val="1"/>
                <w:bCs w:val="1"/>
                <w:color w:val="auto"/>
                <w:w w:val="91"/>
              </w:rPr>
              <w:t>December 31, 2019</w:t>
            </w: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56"/>
        </w:trPr>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Total</w:t>
            </w:r>
          </w:p>
        </w:tc>
      </w:tr>
      <w:tr>
        <w:trPr>
          <w:trHeight w:val="180"/>
        </w:trPr>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40" w:type="dxa"/>
            <w:vAlign w:val="bottom"/>
            <w:gridSpan w:val="4"/>
          </w:tcPr>
          <w:p>
            <w:pPr>
              <w:jc w:val="center"/>
              <w:ind w:right="92"/>
              <w:spacing w:after="0"/>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651"/>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3,964</w:t>
            </w:r>
          </w:p>
        </w:tc>
        <w:tc>
          <w:tcPr>
            <w:tcW w:w="500" w:type="dxa"/>
            <w:vAlign w:val="bottom"/>
            <w:gridSpan w:val="3"/>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3,964</w:t>
            </w:r>
          </w:p>
        </w:tc>
      </w:tr>
      <w:tr>
        <w:trPr>
          <w:trHeight w:val="445"/>
        </w:trPr>
        <w:tc>
          <w:tcPr>
            <w:tcW w:w="200" w:type="dxa"/>
            <w:vAlign w:val="bottom"/>
          </w:tcPr>
          <w:p>
            <w:pPr>
              <w:spacing w:after="0"/>
              <w:rPr>
                <w:sz w:val="24"/>
                <w:szCs w:val="24"/>
                <w:color w:val="auto"/>
              </w:rPr>
            </w:pP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1,638</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1,638</w:t>
            </w:r>
          </w:p>
        </w:tc>
      </w:tr>
      <w:tr>
        <w:trPr>
          <w:trHeight w:val="445"/>
        </w:trPr>
        <w:tc>
          <w:tcPr>
            <w:tcW w:w="200" w:type="dxa"/>
            <w:vAlign w:val="bottom"/>
          </w:tcPr>
          <w:p>
            <w:pPr>
              <w:spacing w:after="0"/>
              <w:rPr>
                <w:sz w:val="24"/>
                <w:szCs w:val="24"/>
                <w:color w:val="auto"/>
              </w:rPr>
            </w:pP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1,411</w:t>
            </w:r>
          </w:p>
        </w:tc>
      </w:tr>
      <w:tr>
        <w:trPr>
          <w:trHeight w:val="230"/>
        </w:trPr>
        <w:tc>
          <w:tcPr>
            <w:tcW w:w="200" w:type="dxa"/>
            <w:vAlign w:val="bottom"/>
          </w:tcPr>
          <w:p>
            <w:pPr>
              <w:spacing w:after="0"/>
              <w:rPr>
                <w:sz w:val="20"/>
                <w:szCs w:val="20"/>
                <w:color w:val="auto"/>
              </w:rPr>
            </w:pP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335</w:t>
            </w:r>
          </w:p>
        </w:tc>
      </w:tr>
      <w:tr>
        <w:trPr>
          <w:trHeight w:val="223"/>
        </w:trPr>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240" w:type="dxa"/>
            <w:vAlign w:val="bottom"/>
          </w:tcPr>
          <w:p>
            <w:pPr>
              <w:spacing w:after="0"/>
              <w:rPr>
                <w:sz w:val="19"/>
                <w:szCs w:val="19"/>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7,013</w:t>
            </w:r>
          </w:p>
        </w:tc>
        <w:tc>
          <w:tcPr>
            <w:tcW w:w="260" w:type="dxa"/>
            <w:vAlign w:val="bottom"/>
            <w:gridSpan w:val="2"/>
          </w:tcPr>
          <w:p>
            <w:pPr>
              <w:spacing w:after="0"/>
              <w:rPr>
                <w:sz w:val="19"/>
                <w:szCs w:val="19"/>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7,348</w:t>
            </w: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-4045585</wp:posOffset>
            </wp:positionV>
            <wp:extent cx="713232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-3754120</wp:posOffset>
            </wp:positionV>
            <wp:extent cx="713232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-3445510</wp:posOffset>
            </wp:positionV>
            <wp:extent cx="713232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-2999740</wp:posOffset>
            </wp:positionV>
            <wp:extent cx="7132320" cy="2832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-2433955</wp:posOffset>
            </wp:positionV>
            <wp:extent cx="7132320" cy="2832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-2005330</wp:posOffset>
            </wp:positionV>
            <wp:extent cx="713232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-1319530</wp:posOffset>
            </wp:positionV>
            <wp:extent cx="71323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-890905</wp:posOffset>
            </wp:positionV>
            <wp:extent cx="7132320" cy="2832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-325120</wp:posOffset>
            </wp:positionV>
            <wp:extent cx="713232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70" w:lineRule="exact"/>
        <w:rPr>
          <w:sz w:val="20"/>
          <w:szCs w:val="20"/>
          <w:color w:val="auto"/>
        </w:rPr>
      </w:pPr>
    </w:p>
    <w:p>
      <w:pPr>
        <w:sectPr>
          <w:pgSz w:w="11900" w:h="16838" w:orient="portrait"/>
          <w:cols w:equalWidth="0" w:num="2">
            <w:col w:w="5120" w:space="720"/>
            <w:col w:w="5320"/>
          </w:cols>
          <w:pgMar w:left="320" w:top="121" w:right="419" w:bottom="1440" w:gutter="0" w:footer="0" w:header="0"/>
          <w:type w:val="continuous"/>
        </w:sectPr>
      </w:pPr>
    </w:p>
    <w:p>
      <w:pPr>
        <w:ind w:left="500" w:hanging="492"/>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fair value of the Origin earn-out liability (Refer to Note 5 for further details on this acquisition) is estimated using a Monte Carlo Simulation, a simulation-based measurement technique with significant inputs that are not observable in the market and thus represents a level 3 fair value measurement. The significant inputs in the fair value measurement not supported by market activity included the expected future standalone EBITDA growth of Origin during the earn-out period, appropriately discounted by a risk adjustment factor, considering the uncertainties associated with the obligation, its associated volatility, and calculated in accordance with the terms of the Unit Purchase Agreement for this acquisition. Significant changes of these significant inputs, in isolation or in combination, would result in a material change in fair value estimates. The interrelationship between these inputs is not considered significant. The fair value of the Origin earn-out liability is remeasured at every reporting period and the change in fair value is recorded to sales, general and administrative expenses. During the year ended December 31, 2019, a $0.6 million credit to sales, general and administrative expenses was recorded resulting from a reduction in the fair value remeasurement. The earn-out liability of $2.4 million contingent upon Origin’s 2019 standalone EBITDA was fully paid in April 2020. During the nine months ended September 30, 2020, there was no material change in the fair value of the remaining earn-out liability that is contingent upon Origin’s 2020 standalone EBITDA results. The Origin contingent consideration balance as of September 30, 2020 also included $0.3 million related to the finalization of pre-acquisition sales tax liabilities owed to Origin’s sellers according to the terms of the Origin Unit Purchase Agreement and this balance will be settled together with the Origin 2020 earn-out liability in 2021.</w:t>
      </w:r>
    </w:p>
    <w:p>
      <w:pPr>
        <w:spacing w:after="0" w:line="1" w:lineRule="exact"/>
        <w:rPr>
          <w:rFonts w:ascii="Arial" w:cs="Arial" w:eastAsia="Arial" w:hAnsi="Arial"/>
          <w:sz w:val="13"/>
          <w:szCs w:val="13"/>
          <w:color w:val="auto"/>
        </w:rPr>
      </w:pPr>
    </w:p>
    <w:p>
      <w:pPr>
        <w:ind w:left="500" w:right="20" w:hanging="492"/>
        <w:spacing w:after="0" w:line="221" w:lineRule="auto"/>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fair value of the SCUF contingent consideration was determined based on the estimates of acquired tax benefits owed to SCUF’s sellers according to the merger agreement. These estimates involved inputs unobservable in the markets and thus represent a level 3 fair value measurement. The measurement of this liability was provisional at the SCUF Acquisition Date (as defined in Note 5) and as of September 30, 2020 and will be finalized in the fourth quarter of 2020. The amount is subject to update upon filing the tax returns for 2019 through 2021. Refer to Note 5 for further details on this acquisition.</w:t>
      </w:r>
    </w:p>
    <w:p>
      <w:pPr>
        <w:spacing w:after="0" w:line="1" w:lineRule="exact"/>
        <w:rPr>
          <w:rFonts w:ascii="Arial" w:cs="Arial" w:eastAsia="Arial" w:hAnsi="Arial"/>
          <w:sz w:val="14"/>
          <w:szCs w:val="14"/>
          <w:color w:val="auto"/>
        </w:rPr>
      </w:pPr>
    </w:p>
    <w:p>
      <w:pPr>
        <w:ind w:left="500" w:right="100" w:hanging="492"/>
        <w:spacing w:after="0" w:line="221" w:lineRule="auto"/>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fair value of Origin’s deferred cash consideration is determined at the Origin acquisition date by using a discount rate of 6.5%. This discount rate approximated our borrowing rate under the revolving line of credit and represented a Level 3 input under the fair value hierarchy.</w:t>
      </w:r>
    </w:p>
    <w:p>
      <w:pPr>
        <w:ind w:left="500" w:right="320" w:hanging="492"/>
        <w:spacing w:after="0" w:line="237" w:lineRule="auto"/>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fair values of the forward contracts and interest rate cap contract are based on similar exchange traded derivatives and the related asset or liability is, therefore, included within Level 2 of the fair value hierarchy.</w:t>
      </w: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Derivative Financial Instruments</w:t>
      </w:r>
    </w:p>
    <w:p>
      <w:pPr>
        <w:spacing w:after="0" w:line="121" w:lineRule="exact"/>
        <w:rPr>
          <w:sz w:val="20"/>
          <w:szCs w:val="20"/>
          <w:color w:val="auto"/>
        </w:rPr>
      </w:pPr>
    </w:p>
    <w:p>
      <w:pPr>
        <w:ind w:right="300" w:firstLine="510"/>
        <w:spacing w:after="0" w:line="255" w:lineRule="auto"/>
        <w:rPr>
          <w:sz w:val="20"/>
          <w:szCs w:val="20"/>
          <w:color w:val="auto"/>
        </w:rPr>
      </w:pPr>
      <w:r>
        <w:rPr>
          <w:rFonts w:ascii="Arial" w:cs="Arial" w:eastAsia="Arial" w:hAnsi="Arial"/>
          <w:sz w:val="18"/>
          <w:szCs w:val="18"/>
          <w:color w:val="auto"/>
        </w:rPr>
        <w:t>We are exposed to foreign currency risk relating to our ongoing business operations and use derivative financial instruments, principally foreign currency forward contracts, to reduce the risk. The notional principal amount of outstanding foreign exchange forward contracts was $21.5 million and $18.3 million as of September 30, 2020 and December 31, 2019, respectively, none of which have been designated as hedging instruments during the periods presented. The fair value gain (loss) recognized in other (expense) income, net in relation to these derivative instruments was $(1.1) million and $0.9 million for the three months ended September 30, 2020 and 2019, respectively, and $(1.2) million and $0.5 million for the nine months ended September 30, 2020 and 2019, respectively.</w:t>
      </w:r>
    </w:p>
    <w:p>
      <w:pPr>
        <w:spacing w:after="0" w:line="19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In April 2020, we purchased interest rate cap contracts for $0.5 million with a notional amount of $465 million to manage our exposure to interest rate movements on our variable rate debt when 3-month LIBOR exceeds 1.0%. Refer to Note 8 for further information relating to the interest rates on our debts. The interest rate cap contracts mature on June 30, 2022 and none of which have been designated as hedging instruments. Accordingly, we recognized $55 thousand and $0.5 million net loss for the change in fair value of the interest rate contracts in interest expense for the three and nine months ended September 30, 2020,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Combinations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Immaterial Acquisition</w:t>
      </w:r>
    </w:p>
    <w:p>
      <w:pPr>
        <w:spacing w:after="0" w:line="117" w:lineRule="exact"/>
        <w:rPr>
          <w:sz w:val="20"/>
          <w:szCs w:val="20"/>
          <w:color w:val="auto"/>
        </w:rPr>
      </w:pPr>
    </w:p>
    <w:p>
      <w:pPr>
        <w:ind w:right="120" w:firstLine="510"/>
        <w:spacing w:after="0" w:line="275" w:lineRule="auto"/>
        <w:rPr>
          <w:sz w:val="20"/>
          <w:szCs w:val="20"/>
          <w:color w:val="auto"/>
        </w:rPr>
      </w:pPr>
      <w:r>
        <w:rPr>
          <w:rFonts w:ascii="Arial" w:cs="Arial" w:eastAsia="Arial" w:hAnsi="Arial"/>
          <w:sz w:val="17"/>
          <w:szCs w:val="17"/>
          <w:color w:val="auto"/>
        </w:rPr>
        <w:t>On August 31, 2020, we completed an acquisition that is not material to our consolidated financial position, results of operations or cash flows. We believe that the acquisition will enhance the product offering in our gamer and creator peripherals segment. The purchase consideration was $1.0 million and consisted of $0.8 million of cash and $0.2 million of additional cash earn-out based on the achievement of certain net revenue targets of the acquiree from the acquisition date through December 31, 2021. We acquired intangibles of $0.7 million, goodwill of $0.2 million and accounts receivable of $0.1 million. These intangibles will be amortized over a weighted-average estimated useful life of 3.1 years.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SCUF Acquisition</w:t>
      </w:r>
    </w:p>
    <w:p>
      <w:pPr>
        <w:spacing w:after="0" w:line="117" w:lineRule="exact"/>
        <w:rPr>
          <w:sz w:val="20"/>
          <w:szCs w:val="20"/>
          <w:color w:val="auto"/>
        </w:rPr>
      </w:pPr>
    </w:p>
    <w:p>
      <w:pPr>
        <w:ind w:right="40" w:firstLine="510"/>
        <w:spacing w:after="0" w:line="301" w:lineRule="auto"/>
        <w:rPr>
          <w:sz w:val="20"/>
          <w:szCs w:val="20"/>
          <w:color w:val="auto"/>
        </w:rPr>
      </w:pPr>
      <w:r>
        <w:rPr>
          <w:rFonts w:ascii="Arial" w:cs="Arial" w:eastAsia="Arial" w:hAnsi="Arial"/>
          <w:sz w:val="16"/>
          <w:szCs w:val="16"/>
          <w:color w:val="auto"/>
        </w:rPr>
        <w:t xml:space="preserve">On December 19, 2019 </w:t>
      </w:r>
      <w:r>
        <w:rPr>
          <w:rFonts w:ascii="Arial" w:cs="Arial" w:eastAsia="Arial" w:hAnsi="Arial"/>
          <w:sz w:val="16"/>
          <w:szCs w:val="16"/>
          <w:i w:val="1"/>
          <w:iCs w:val="1"/>
          <w:color w:val="auto"/>
        </w:rPr>
        <w:t>(the “SCUF Acquisition Closing Date”)</w:t>
      </w:r>
      <w:r>
        <w:rPr>
          <w:rFonts w:ascii="Arial" w:cs="Arial" w:eastAsia="Arial" w:hAnsi="Arial"/>
          <w:sz w:val="16"/>
          <w:szCs w:val="16"/>
          <w:color w:val="auto"/>
        </w:rPr>
        <w:t xml:space="preserve">, one of our subsidiaries entered into an Agreement and Plan of Merger with Scuf Holdings, Inc. and subsidiaries </w:t>
      </w:r>
      <w:r>
        <w:rPr>
          <w:rFonts w:ascii="Arial" w:cs="Arial" w:eastAsia="Arial" w:hAnsi="Arial"/>
          <w:sz w:val="16"/>
          <w:szCs w:val="16"/>
          <w:i w:val="1"/>
          <w:iCs w:val="1"/>
          <w:color w:val="auto"/>
        </w:rPr>
        <w:t>(collectively “SCUF”)</w:t>
      </w:r>
      <w:r>
        <w:rPr>
          <w:rFonts w:ascii="Arial" w:cs="Arial" w:eastAsia="Arial" w:hAnsi="Arial"/>
          <w:sz w:val="16"/>
          <w:szCs w:val="16"/>
          <w:color w:val="auto"/>
        </w:rPr>
        <w:t xml:space="preserve"> and acquired 100% of their equity interests </w:t>
      </w:r>
      <w:r>
        <w:rPr>
          <w:rFonts w:ascii="Arial" w:cs="Arial" w:eastAsia="Arial" w:hAnsi="Arial"/>
          <w:sz w:val="16"/>
          <w:szCs w:val="16"/>
          <w:i w:val="1"/>
          <w:iCs w:val="1"/>
          <w:color w:val="auto"/>
        </w:rPr>
        <w:t>(the “SCUF Acquisition”)</w:t>
      </w:r>
      <w:r>
        <w:rPr>
          <w:rFonts w:ascii="Arial" w:cs="Arial" w:eastAsia="Arial" w:hAnsi="Arial"/>
          <w:sz w:val="16"/>
          <w:szCs w:val="16"/>
          <w:color w:val="auto"/>
        </w:rPr>
        <w:t>. SCUF, headquartered in Georgia, U.S., specializes in delivering high-performance accessories and customized gaming controllers for consoles and PCs used by top professionals as well as casual gamers. We believe that the SCUF Acquisition will enhance our product and service offerings to both console and PC gamers.</w:t>
      </w:r>
    </w:p>
    <w:p>
      <w:pPr>
        <w:spacing w:after="0" w:line="157"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Because the acquired companies met the definition of a business, the SCUF Acquisition has been accounted for as a business combination using the acquisition method of accounting.</w:t>
      </w:r>
    </w:p>
    <w:p>
      <w:pPr>
        <w:spacing w:after="0" w:line="170"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Subsequent to the SCUF Acquisition Closing Date, we recorded measurement period adjustments which reduced purchase price, inventories and goodwill by $1.5 million, $0.5 million and $1.0 million, respectively, and accordingly, the SCUF Acquisition total adjusted purchase consideration was $136.3 million. The SCUF Acquisition purchase consideration consisted of (i) $128.2 million cash consideration (including the payment of SCUF’s transaction costs and debt on behalf of SCUF), (ii) $8.0 million equity consideration (an issuance of approximately 2.1 million units of the Parent which was equivalent to approximately 1.1 million shares of Corsair common stock immediately post-Reorganization and prior to the exchange agreements described in Note 1), (iii) $1.6 million estimated contingent cash consideration relating to the our expected utilization of the acquired SCUF tax liabilities or tax benefits relating to pre-acquisition SCUF results over the next 4 years of tax filings, (iv) additional cash earn-out based on the achievement of certain SCUF standalone EBITDA targets for 2019 and the ability of SCUF to renew a licensing agreement with a certain vendor, and these contingent cash earn-outs were determined to have zero value based on the assessment of the outcome of these contingent events on the SCUF Acquisition Closing Date, and (v) net of $1.5 million contingent cash consideration paid on the SCUF Acquisition Closing Date that is expected to be returned by the sellers to us to fund an incentive payment to certain ex-SCUF employees who joined Corsair and are required to remain employed through a contractual service period. The purchase price is subject to further adjustments of certain net working capital items within 12 months of the SCUF Acquisition Closing Date.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Preliminary purchase price allocation</w:t>
      </w:r>
    </w:p>
    <w:p>
      <w:pPr>
        <w:spacing w:after="0" w:line="117" w:lineRule="exact"/>
        <w:rPr>
          <w:sz w:val="20"/>
          <w:szCs w:val="20"/>
          <w:color w:val="auto"/>
        </w:rPr>
      </w:pPr>
    </w:p>
    <w:p>
      <w:pPr>
        <w:ind w:right="140" w:firstLine="510"/>
        <w:spacing w:after="0" w:line="273" w:lineRule="auto"/>
        <w:rPr>
          <w:sz w:val="20"/>
          <w:szCs w:val="20"/>
          <w:color w:val="auto"/>
        </w:rPr>
      </w:pPr>
      <w:r>
        <w:rPr>
          <w:rFonts w:ascii="Arial" w:cs="Arial" w:eastAsia="Arial" w:hAnsi="Arial"/>
          <w:sz w:val="17"/>
          <w:szCs w:val="17"/>
          <w:color w:val="auto"/>
        </w:rPr>
        <w:t>The following table summarizes the preliminary allocation of the purchase consideration to the estimated fair value of the assets acquired and liabilities assumed at the SCUF Acquisition Closing Date. The allocation of the purchase price was based upon a preliminary valuation, and the estimates and assumptions are subject to change within the measurement period. The primary areas of the purchase price allocation that are not yet finalized consist of federal and state income tax and other tax considerations and the valuation of identifiable intangible assets acquired. We will continue to reflect measurement period adjustments to purchase price allocation, if any, in the period in which the adjustments are recognized. Final determination of the fair values may result in adjustments to the values presented in the following table:</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(In thousands)</w:t>
            </w:r>
          </w:p>
        </w:tc>
      </w:tr>
      <w:tr>
        <w:trPr>
          <w:trHeight w:val="223"/>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 acquired:</w:t>
            </w:r>
          </w:p>
        </w:tc>
        <w:tc>
          <w:tcPr>
            <w:tcW w:w="3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7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Cash</w:t>
            </w:r>
          </w:p>
        </w:tc>
        <w:tc>
          <w:tcPr>
            <w:tcW w:w="3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6,947</w:t>
            </w:r>
          </w:p>
        </w:tc>
        <w:tc>
          <w:tcPr>
            <w:tcW w:w="120" w:type="dxa"/>
            <w:vAlign w:val="bottom"/>
          </w:tcPr>
          <w:p>
            <w:pPr>
              <w:spacing w:after="0"/>
              <w:rPr>
                <w:sz w:val="19"/>
                <w:szCs w:val="19"/>
                <w:color w:val="auto"/>
              </w:rPr>
            </w:pPr>
          </w:p>
        </w:tc>
      </w:tr>
      <w:tr>
        <w:trPr>
          <w:trHeight w:val="229"/>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3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4,587</w:t>
            </w:r>
          </w:p>
        </w:tc>
        <w:tc>
          <w:tcPr>
            <w:tcW w:w="120" w:type="dxa"/>
            <w:vAlign w:val="bottom"/>
            <w:shd w:val="clear" w:color="auto" w:fill="CFF0FC"/>
          </w:tcPr>
          <w:p>
            <w:pPr>
              <w:spacing w:after="0"/>
              <w:rPr>
                <w:sz w:val="19"/>
                <w:szCs w:val="19"/>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Inventories</w:t>
            </w:r>
          </w:p>
        </w:tc>
        <w:tc>
          <w:tcPr>
            <w:tcW w:w="3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12,800</w:t>
            </w:r>
          </w:p>
        </w:tc>
        <w:tc>
          <w:tcPr>
            <w:tcW w:w="120" w:type="dxa"/>
            <w:vAlign w:val="bottom"/>
          </w:tcPr>
          <w:p>
            <w:pPr>
              <w:spacing w:after="0"/>
              <w:rPr>
                <w:sz w:val="19"/>
                <w:szCs w:val="19"/>
                <w:color w:val="auto"/>
              </w:rPr>
            </w:pPr>
          </w:p>
        </w:tc>
      </w:tr>
      <w:tr>
        <w:trPr>
          <w:trHeight w:val="229"/>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Prepaid and other assets</w:t>
            </w:r>
          </w:p>
        </w:tc>
        <w:tc>
          <w:tcPr>
            <w:tcW w:w="3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1,377</w:t>
            </w:r>
          </w:p>
        </w:tc>
        <w:tc>
          <w:tcPr>
            <w:tcW w:w="120" w:type="dxa"/>
            <w:vAlign w:val="bottom"/>
            <w:shd w:val="clear" w:color="auto" w:fill="CFF0FC"/>
          </w:tcPr>
          <w:p>
            <w:pPr>
              <w:spacing w:after="0"/>
              <w:rPr>
                <w:sz w:val="19"/>
                <w:szCs w:val="19"/>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3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71,890</w:t>
            </w:r>
          </w:p>
        </w:tc>
        <w:tc>
          <w:tcPr>
            <w:tcW w:w="120" w:type="dxa"/>
            <w:vAlign w:val="bottom"/>
          </w:tcPr>
          <w:p>
            <w:pPr>
              <w:spacing w:after="0"/>
              <w:rPr>
                <w:sz w:val="19"/>
                <w:szCs w:val="19"/>
                <w:color w:val="auto"/>
              </w:rPr>
            </w:pPr>
          </w:p>
        </w:tc>
      </w:tr>
      <w:tr>
        <w:trPr>
          <w:trHeight w:val="229"/>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3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2,927</w:t>
            </w:r>
          </w:p>
        </w:tc>
        <w:tc>
          <w:tcPr>
            <w:tcW w:w="120" w:type="dxa"/>
            <w:vAlign w:val="bottom"/>
            <w:shd w:val="clear" w:color="auto" w:fill="CFF0FC"/>
          </w:tcPr>
          <w:p>
            <w:pPr>
              <w:spacing w:after="0"/>
              <w:rPr>
                <w:sz w:val="19"/>
                <w:szCs w:val="19"/>
                <w:color w:val="auto"/>
              </w:rPr>
            </w:pP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Other assets</w:t>
            </w:r>
          </w:p>
        </w:tc>
        <w:tc>
          <w:tcPr>
            <w:tcW w:w="3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Liabilities assumed:</w:t>
            </w:r>
          </w:p>
        </w:tc>
        <w:tc>
          <w:tcPr>
            <w:tcW w:w="3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Accounts payable</w:t>
            </w:r>
          </w:p>
        </w:tc>
        <w:tc>
          <w:tcPr>
            <w:tcW w:w="3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00" w:type="dxa"/>
            <w:vAlign w:val="bottom"/>
            <w:gridSpan w:val="2"/>
          </w:tcPr>
          <w:p>
            <w:pPr>
              <w:jc w:val="right"/>
              <w:ind w:right="60"/>
              <w:spacing w:after="0"/>
              <w:rPr>
                <w:sz w:val="20"/>
                <w:szCs w:val="20"/>
                <w:color w:val="auto"/>
              </w:rPr>
            </w:pPr>
            <w:r>
              <w:rPr>
                <w:rFonts w:ascii="Arial" w:cs="Arial" w:eastAsia="Arial" w:hAnsi="Arial"/>
                <w:sz w:val="18"/>
                <w:szCs w:val="18"/>
                <w:color w:val="auto"/>
              </w:rPr>
              <w:t>(9,182)</w:t>
            </w:r>
          </w:p>
        </w:tc>
      </w:tr>
      <w:tr>
        <w:trPr>
          <w:trHeight w:val="229"/>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Sales tax payable</w:t>
            </w:r>
          </w:p>
        </w:tc>
        <w:tc>
          <w:tcPr>
            <w:tcW w:w="3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(5,533)</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Deferred revenue</w:t>
            </w:r>
          </w:p>
        </w:tc>
        <w:tc>
          <w:tcPr>
            <w:tcW w:w="3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00" w:type="dxa"/>
            <w:vAlign w:val="bottom"/>
            <w:gridSpan w:val="2"/>
          </w:tcPr>
          <w:p>
            <w:pPr>
              <w:jc w:val="right"/>
              <w:ind w:right="60"/>
              <w:spacing w:after="0"/>
              <w:rPr>
                <w:sz w:val="20"/>
                <w:szCs w:val="20"/>
                <w:color w:val="auto"/>
              </w:rPr>
            </w:pPr>
            <w:r>
              <w:rPr>
                <w:rFonts w:ascii="Arial" w:cs="Arial" w:eastAsia="Arial" w:hAnsi="Arial"/>
                <w:sz w:val="18"/>
                <w:szCs w:val="18"/>
                <w:color w:val="auto"/>
              </w:rPr>
              <w:t>(3,752)</w:t>
            </w:r>
          </w:p>
        </w:tc>
      </w:tr>
      <w:tr>
        <w:trPr>
          <w:trHeight w:val="229"/>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 and accrued expenses</w:t>
            </w:r>
          </w:p>
        </w:tc>
        <w:tc>
          <w:tcPr>
            <w:tcW w:w="3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(8,416)</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3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00" w:type="dxa"/>
            <w:vAlign w:val="bottom"/>
            <w:gridSpan w:val="2"/>
          </w:tcPr>
          <w:p>
            <w:pPr>
              <w:jc w:val="right"/>
              <w:ind w:right="60"/>
              <w:spacing w:after="0"/>
              <w:rPr>
                <w:sz w:val="20"/>
                <w:szCs w:val="20"/>
                <w:color w:val="auto"/>
              </w:rPr>
            </w:pPr>
            <w:r>
              <w:rPr>
                <w:rFonts w:ascii="Arial" w:cs="Arial" w:eastAsia="Arial" w:hAnsi="Arial"/>
                <w:sz w:val="18"/>
                <w:szCs w:val="18"/>
                <w:color w:val="auto"/>
              </w:rPr>
              <w:t>(10,015)</w:t>
            </w:r>
          </w:p>
        </w:tc>
      </w:tr>
      <w:tr>
        <w:trPr>
          <w:trHeight w:val="223"/>
        </w:trPr>
        <w:tc>
          <w:tcPr>
            <w:tcW w:w="586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Net identifiable net assets acquired</w:t>
            </w:r>
          </w:p>
        </w:tc>
        <w:tc>
          <w:tcPr>
            <w:tcW w:w="3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63,670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Goodwill</w:t>
            </w:r>
          </w:p>
        </w:tc>
        <w:tc>
          <w:tcPr>
            <w:tcW w:w="3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72,642</w:t>
            </w:r>
          </w:p>
        </w:tc>
        <w:tc>
          <w:tcPr>
            <w:tcW w:w="120" w:type="dxa"/>
            <w:vAlign w:val="bottom"/>
            <w:tcBorders>
              <w:bottom w:val="single" w:sz="8" w:color="CFF0FC"/>
            </w:tcBorders>
          </w:tcPr>
          <w:p>
            <w:pPr>
              <w:spacing w:after="0"/>
              <w:rPr>
                <w:sz w:val="19"/>
                <w:szCs w:val="19"/>
                <w:color w:val="auto"/>
              </w:rPr>
            </w:pPr>
          </w:p>
        </w:tc>
      </w:tr>
      <w:tr>
        <w:trPr>
          <w:trHeight w:val="223"/>
        </w:trPr>
        <w:tc>
          <w:tcPr>
            <w:tcW w:w="58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Net assets acquired</w:t>
            </w:r>
          </w:p>
        </w:tc>
        <w:tc>
          <w:tcPr>
            <w:tcW w:w="3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136,312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40" w:firstLine="510"/>
        <w:spacing w:after="0" w:line="286" w:lineRule="auto"/>
        <w:rPr>
          <w:sz w:val="20"/>
          <w:szCs w:val="20"/>
          <w:color w:val="auto"/>
        </w:rPr>
      </w:pPr>
      <w:r>
        <w:rPr>
          <w:rFonts w:ascii="Arial" w:cs="Arial" w:eastAsia="Arial" w:hAnsi="Arial"/>
          <w:sz w:val="17"/>
          <w:szCs w:val="17"/>
          <w:color w:val="auto"/>
        </w:rPr>
        <w:t>The excess of the purchase price over the preliminary net tangible assets and preliminary intangible assets was recorded as goodwill. Goodwill of $72.6 million, derived from the SCUF Acquisition, is primarily related to the value of the acquired workforce and the ability to design and generate revenue from future technology and customers. The goodwill and identifiable intangible assets are not deductible for tax purposes.</w:t>
      </w:r>
    </w:p>
    <w:p>
      <w:pPr>
        <w:spacing w:after="0" w:line="165"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The fair value of the inventory acquired was estimated using the expected selling price of the inventory, then deducting direct selling expenses and a reasonable allocation of profit to a likely buyer. The difference between the fair value of the inventories and the amount recorded by SCUF immediately before the acquisition date is $1.5 million, which is recognized in cost of revenue in the condensed combined consolidated statements of operations upon the sale of the acquired inventory.</w:t>
      </w:r>
    </w:p>
    <w:p>
      <w:pPr>
        <w:spacing w:after="0" w:line="187" w:lineRule="exact"/>
        <w:rPr>
          <w:sz w:val="20"/>
          <w:szCs w:val="20"/>
          <w:color w:val="auto"/>
        </w:rPr>
      </w:pPr>
    </w:p>
    <w:p>
      <w:pPr>
        <w:ind w:right="840" w:firstLine="510"/>
        <w:spacing w:after="0" w:line="277" w:lineRule="auto"/>
        <w:rPr>
          <w:sz w:val="20"/>
          <w:szCs w:val="20"/>
          <w:color w:val="auto"/>
        </w:rPr>
      </w:pPr>
      <w:r>
        <w:rPr>
          <w:rFonts w:ascii="Arial" w:cs="Arial" w:eastAsia="Arial" w:hAnsi="Arial"/>
          <w:sz w:val="18"/>
          <w:szCs w:val="18"/>
          <w:color w:val="auto"/>
        </w:rPr>
        <w:t>The following table summarizes the components of identifiable intangible assets acquired and their estimated useful lives as of the SCUF Acquisition Closing Date: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2"/>
                <w:szCs w:val="12"/>
                <w:color w:val="auto"/>
              </w:rPr>
            </w:pPr>
          </w:p>
        </w:tc>
        <w:tc>
          <w:tcPr>
            <w:tcW w:w="1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 Useful</w:t>
            </w: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155"/>
        </w:trPr>
        <w:tc>
          <w:tcPr>
            <w:tcW w:w="49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3"/>
                <w:szCs w:val="13"/>
                <w:color w:val="auto"/>
              </w:rPr>
            </w:pPr>
          </w:p>
        </w:tc>
        <w:tc>
          <w:tcPr>
            <w:tcW w:w="17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(In years)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Patents</w:t>
            </w:r>
          </w:p>
        </w:tc>
        <w:tc>
          <w:tcPr>
            <w:tcW w:w="26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30,500</w:t>
            </w:r>
          </w:p>
        </w:tc>
        <w:tc>
          <w:tcPr>
            <w:tcW w:w="2040" w:type="dxa"/>
            <w:vAlign w:val="bottom"/>
            <w:gridSpan w:val="2"/>
            <w:shd w:val="clear" w:color="auto" w:fill="CFF0FC"/>
          </w:tcPr>
          <w:p>
            <w:pPr>
              <w:jc w:val="center"/>
              <w:ind w:left="290"/>
              <w:spacing w:after="0"/>
              <w:rPr>
                <w:sz w:val="20"/>
                <w:szCs w:val="20"/>
                <w:color w:val="auto"/>
              </w:rPr>
            </w:pPr>
            <w:r>
              <w:rPr>
                <w:rFonts w:ascii="Arial" w:cs="Arial" w:eastAsia="Arial" w:hAnsi="Arial"/>
                <w:sz w:val="18"/>
                <w:szCs w:val="18"/>
                <w:color w:val="auto"/>
                <w:w w:val="99"/>
              </w:rPr>
              <w:t>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spacing w:after="0"/>
              <w:rPr>
                <w:sz w:val="20"/>
                <w:szCs w:val="20"/>
                <w:color w:val="auto"/>
              </w:rPr>
            </w:pPr>
            <w:r>
              <w:rPr>
                <w:rFonts w:ascii="Arial" w:cs="Arial" w:eastAsia="Arial" w:hAnsi="Arial"/>
                <w:sz w:val="18"/>
                <w:szCs w:val="18"/>
                <w:color w:val="auto"/>
              </w:rPr>
              <w:t>Developed technology</w:t>
            </w:r>
          </w:p>
        </w:tc>
        <w:tc>
          <w:tcPr>
            <w:tcW w:w="2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18,600</w:t>
            </w:r>
          </w:p>
        </w:tc>
        <w:tc>
          <w:tcPr>
            <w:tcW w:w="2040" w:type="dxa"/>
            <w:vAlign w:val="bottom"/>
            <w:gridSpan w:val="2"/>
          </w:tcPr>
          <w:p>
            <w:pPr>
              <w:jc w:val="center"/>
              <w:ind w:left="290"/>
              <w:spacing w:after="0"/>
              <w:rPr>
                <w:sz w:val="20"/>
                <w:szCs w:val="20"/>
                <w:color w:val="auto"/>
              </w:rPr>
            </w:pPr>
            <w:r>
              <w:rPr>
                <w:rFonts w:ascii="Arial" w:cs="Arial" w:eastAsia="Arial" w:hAnsi="Arial"/>
                <w:sz w:val="18"/>
                <w:szCs w:val="18"/>
                <w:color w:val="auto"/>
                <w:w w:val="99"/>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2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w:t>
            </w:r>
          </w:p>
        </w:tc>
        <w:tc>
          <w:tcPr>
            <w:tcW w:w="2040" w:type="dxa"/>
            <w:vAlign w:val="bottom"/>
            <w:gridSpan w:val="2"/>
            <w:shd w:val="clear" w:color="auto" w:fill="CFF0FC"/>
          </w:tcPr>
          <w:p>
            <w:pPr>
              <w:jc w:val="center"/>
              <w:ind w:left="290"/>
              <w:spacing w:after="0"/>
              <w:rPr>
                <w:sz w:val="20"/>
                <w:szCs w:val="20"/>
                <w:color w:val="auto"/>
              </w:rPr>
            </w:pPr>
            <w:r>
              <w:rPr>
                <w:rFonts w:ascii="Arial" w:cs="Arial" w:eastAsia="Arial" w:hAnsi="Arial"/>
                <w:sz w:val="18"/>
                <w:szCs w:val="18"/>
                <w:color w:val="auto"/>
                <w:w w:val="99"/>
              </w:rPr>
              <w:t>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Trade name</w:t>
            </w:r>
          </w:p>
        </w:tc>
        <w:tc>
          <w:tcPr>
            <w:tcW w:w="23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22,200</w:t>
            </w:r>
          </w:p>
        </w:tc>
        <w:tc>
          <w:tcPr>
            <w:tcW w:w="2040" w:type="dxa"/>
            <w:vAlign w:val="bottom"/>
            <w:tcBorders>
              <w:bottom w:val="single" w:sz="8" w:color="CFF0FC"/>
            </w:tcBorders>
            <w:gridSpan w:val="2"/>
          </w:tcPr>
          <w:p>
            <w:pPr>
              <w:jc w:val="center"/>
              <w:ind w:left="290"/>
              <w:spacing w:after="0"/>
              <w:rPr>
                <w:sz w:val="20"/>
                <w:szCs w:val="20"/>
                <w:color w:val="auto"/>
              </w:rPr>
            </w:pPr>
            <w:r>
              <w:rPr>
                <w:rFonts w:ascii="Arial" w:cs="Arial" w:eastAsia="Arial" w:hAnsi="Arial"/>
                <w:sz w:val="18"/>
                <w:szCs w:val="18"/>
                <w:color w:val="auto"/>
                <w:w w:val="89"/>
              </w:rPr>
              <w:t>15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identifiable intangible assets</w:t>
            </w:r>
          </w:p>
        </w:tc>
        <w:tc>
          <w:tcPr>
            <w:tcW w:w="23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71,890</w:t>
            </w:r>
          </w:p>
        </w:tc>
        <w:tc>
          <w:tcPr>
            <w:tcW w:w="300" w:type="dxa"/>
            <w:vAlign w:val="bottom"/>
            <w:tcBorders>
              <w:bottom w:val="single" w:sz="8" w:color="CFF0FC"/>
            </w:tcBorders>
            <w:shd w:val="clear" w:color="auto" w:fill="CFF0FC"/>
          </w:tcPr>
          <w:p>
            <w:pPr>
              <w:spacing w:after="0"/>
              <w:rPr>
                <w:sz w:val="19"/>
                <w:szCs w:val="19"/>
                <w:color w:val="auto"/>
              </w:rPr>
            </w:pPr>
          </w:p>
        </w:tc>
        <w:tc>
          <w:tcPr>
            <w:tcW w:w="17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510"/>
        <w:spacing w:after="0" w:line="301" w:lineRule="auto"/>
        <w:rPr>
          <w:sz w:val="20"/>
          <w:szCs w:val="20"/>
          <w:color w:val="auto"/>
        </w:rPr>
      </w:pPr>
      <w:r>
        <w:rPr>
          <w:rFonts w:ascii="Arial" w:cs="Arial" w:eastAsia="Arial" w:hAnsi="Arial"/>
          <w:sz w:val="16"/>
          <w:szCs w:val="16"/>
          <w:color w:val="auto"/>
        </w:rPr>
        <w:t>Intangible assets acquired as a result of the SCUF Acquisition are being amortized over their estimated useful lives using the straight-line method of amortization, which reflect the pattern in which the economic benefits of the intangible asset are consumed or otherwise used up. Amortization of patent and developed technology are included in cost of revenue and product development expense, respectively. Amortization of customer relationships and trade names are included in sales, general and administrative expense in the condensed combined consolidated statements of operations.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Origin Acquisition</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 xml:space="preserve">On July 22, 2019 </w:t>
      </w:r>
      <w:r>
        <w:rPr>
          <w:rFonts w:ascii="Arial" w:cs="Arial" w:eastAsia="Arial" w:hAnsi="Arial"/>
          <w:sz w:val="18"/>
          <w:szCs w:val="18"/>
          <w:i w:val="1"/>
          <w:iCs w:val="1"/>
          <w:color w:val="auto"/>
        </w:rPr>
        <w:t>(the “Origin Closing Date”)</w:t>
      </w:r>
      <w:r>
        <w:rPr>
          <w:rFonts w:ascii="Arial" w:cs="Arial" w:eastAsia="Arial" w:hAnsi="Arial"/>
          <w:sz w:val="18"/>
          <w:szCs w:val="18"/>
          <w:color w:val="auto"/>
        </w:rPr>
        <w:t xml:space="preserve">, one of our subsidiaries acquired all the equity interests in Origin PC Corporation </w:t>
      </w:r>
      <w:r>
        <w:rPr>
          <w:rFonts w:ascii="Arial" w:cs="Arial" w:eastAsia="Arial" w:hAnsi="Arial"/>
          <w:sz w:val="18"/>
          <w:szCs w:val="18"/>
          <w:i w:val="1"/>
          <w:iCs w:val="1"/>
          <w:color w:val="auto"/>
        </w:rPr>
        <w:t>(“Origin” and such</w:t>
      </w:r>
      <w:r>
        <w:rPr>
          <w:rFonts w:ascii="Arial" w:cs="Arial" w:eastAsia="Arial" w:hAnsi="Arial"/>
          <w:sz w:val="18"/>
          <w:szCs w:val="18"/>
          <w:color w:val="auto"/>
        </w:rPr>
        <w:t xml:space="preserve"> </w:t>
      </w:r>
      <w:r>
        <w:rPr>
          <w:rFonts w:ascii="Arial" w:cs="Arial" w:eastAsia="Arial" w:hAnsi="Arial"/>
          <w:sz w:val="18"/>
          <w:szCs w:val="18"/>
          <w:i w:val="1"/>
          <w:iCs w:val="1"/>
          <w:color w:val="auto"/>
        </w:rPr>
        <w:t>acquisition, the “Origin Acquisition”)</w:t>
      </w:r>
      <w:r>
        <w:rPr>
          <w:rFonts w:ascii="Arial" w:cs="Arial" w:eastAsia="Arial" w:hAnsi="Arial"/>
          <w:sz w:val="18"/>
          <w:szCs w:val="18"/>
          <w:color w:val="auto"/>
        </w:rPr>
        <w:t>. Origin, based in Florida, U.S., specializes in delivering hand-built, personalized PCs. We believe the integration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Origin’s expertise in personalized custom gaming systems and Corsair’s strength in performance PC hardware and the iCUE software ecosystems enhances and expands our product and service offerings to PC gamers.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Origin met the definition of a business, and therefore this acquisition is accounted for as a business combination.</w:t>
      </w:r>
    </w:p>
    <w:p>
      <w:pPr>
        <w:spacing w:after="0" w:line="225"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Subsequent to the Origin Closing Date, we recorded measurement period adjustments which increased the purchase price by $0.2 million and reduced other liabilities and accrued expenses by $0.3 million and goodwill by $0.1 million, and accordingly, the Origin Acquisition total adjusted purchase consideration was $13.8 million. The Origin Acquisition purchase consideration consisted of (i) $5.5 million cash consideration (including the payment of Origin’s transaction costs and debt on behalf of Origin), (ii) $2.0 million equity consideration provided by Corsair, which was immediately exchanged for approximately 0.5 million units of the Parent, which was equivalent to approximately 0.2 million shares of Corsair common stock immediately post-Reorganization and prior to the exchange agreements described in Note 1), (iii) $1.4 million deferred cash consideration payable 18 months after closing, not contingent on any future conditions, (iv) $4.6 million of additional cash earn-out based on the achievement of certain Origin standalone EBITDA targets for 2019 and 2020, and (v) $0.3 million estimated contingent cash consideration relating to the finalization of pre-acquisition sales tax liabilities owed to Origin’s sellers according to the terms of the Origin Unit Purchase Agreement.</w:t>
      </w:r>
    </w:p>
    <w:p>
      <w:pPr>
        <w:spacing w:after="0" w:line="181"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The final allocation of the Origin Acquisition purchase consideration to the estimated fair value of the assets acquired and liabilities assumed at the acquisition date is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(In thousands)</w:t>
            </w:r>
          </w:p>
        </w:tc>
      </w:tr>
      <w:tr>
        <w:trPr>
          <w:trHeight w:val="223"/>
        </w:trPr>
        <w:tc>
          <w:tcPr>
            <w:tcW w:w="8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 acquired:</w:t>
            </w: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7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8980" w:type="dxa"/>
            <w:vAlign w:val="bottom"/>
          </w:tcPr>
          <w:p>
            <w:pPr>
              <w:spacing w:after="0"/>
              <w:rPr>
                <w:sz w:val="20"/>
                <w:szCs w:val="20"/>
                <w:color w:val="auto"/>
              </w:rPr>
            </w:pPr>
            <w:r>
              <w:rPr>
                <w:rFonts w:ascii="Arial" w:cs="Arial" w:eastAsia="Arial" w:hAnsi="Arial"/>
                <w:sz w:val="18"/>
                <w:szCs w:val="18"/>
                <w:color w:val="auto"/>
              </w:rPr>
              <w:t>Cash, net of cash acquired</w:t>
            </w:r>
          </w:p>
        </w:tc>
        <w:tc>
          <w:tcPr>
            <w:tcW w:w="360" w:type="dxa"/>
            <w:vAlign w:val="bottom"/>
            <w:gridSpan w:val="2"/>
          </w:tcPr>
          <w:p>
            <w:pPr>
              <w:jc w:val="right"/>
              <w:ind w:right="187"/>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19"/>
                <w:szCs w:val="19"/>
                <w:color w:val="auto"/>
              </w:rPr>
            </w:pPr>
          </w:p>
        </w:tc>
      </w:tr>
      <w:tr>
        <w:trPr>
          <w:trHeight w:val="230"/>
        </w:trPr>
        <w:tc>
          <w:tcPr>
            <w:tcW w:w="898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1,379</w:t>
            </w:r>
          </w:p>
        </w:tc>
        <w:tc>
          <w:tcPr>
            <w:tcW w:w="120" w:type="dxa"/>
            <w:vAlign w:val="bottom"/>
            <w:shd w:val="clear" w:color="auto" w:fill="CFF0FC"/>
          </w:tcPr>
          <w:p>
            <w:pPr>
              <w:spacing w:after="0"/>
              <w:rPr>
                <w:sz w:val="19"/>
                <w:szCs w:val="19"/>
                <w:color w:val="auto"/>
              </w:rPr>
            </w:pPr>
          </w:p>
        </w:tc>
      </w:tr>
      <w:tr>
        <w:trPr>
          <w:trHeight w:val="229"/>
        </w:trPr>
        <w:tc>
          <w:tcPr>
            <w:tcW w:w="8980" w:type="dxa"/>
            <w:vAlign w:val="bottom"/>
          </w:tcPr>
          <w:p>
            <w:pPr>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4,445</w:t>
            </w:r>
          </w:p>
        </w:tc>
        <w:tc>
          <w:tcPr>
            <w:tcW w:w="120" w:type="dxa"/>
            <w:vAlign w:val="bottom"/>
          </w:tcPr>
          <w:p>
            <w:pPr>
              <w:spacing w:after="0"/>
              <w:rPr>
                <w:sz w:val="19"/>
                <w:szCs w:val="19"/>
                <w:color w:val="auto"/>
              </w:rPr>
            </w:pPr>
          </w:p>
        </w:tc>
      </w:tr>
      <w:tr>
        <w:trPr>
          <w:trHeight w:val="230"/>
        </w:trPr>
        <w:tc>
          <w:tcPr>
            <w:tcW w:w="8980" w:type="dxa"/>
            <w:vAlign w:val="bottom"/>
            <w:shd w:val="clear" w:color="auto" w:fill="CFF0FC"/>
          </w:tcPr>
          <w:p>
            <w:pPr>
              <w:spacing w:after="0"/>
              <w:rPr>
                <w:sz w:val="20"/>
                <w:szCs w:val="20"/>
                <w:color w:val="auto"/>
              </w:rPr>
            </w:pPr>
            <w:r>
              <w:rPr>
                <w:rFonts w:ascii="Arial" w:cs="Arial" w:eastAsia="Arial" w:hAnsi="Arial"/>
                <w:sz w:val="18"/>
                <w:szCs w:val="18"/>
                <w:color w:val="auto"/>
              </w:rPr>
              <w:t>Prepaid and other assets</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w:t>
            </w:r>
          </w:p>
        </w:tc>
        <w:tc>
          <w:tcPr>
            <w:tcW w:w="120" w:type="dxa"/>
            <w:vAlign w:val="bottom"/>
            <w:shd w:val="clear" w:color="auto" w:fill="CFF0FC"/>
          </w:tcPr>
          <w:p>
            <w:pPr>
              <w:spacing w:after="0"/>
              <w:rPr>
                <w:sz w:val="19"/>
                <w:szCs w:val="19"/>
                <w:color w:val="auto"/>
              </w:rPr>
            </w:pPr>
          </w:p>
        </w:tc>
      </w:tr>
      <w:tr>
        <w:trPr>
          <w:trHeight w:val="230"/>
        </w:trPr>
        <w:tc>
          <w:tcPr>
            <w:tcW w:w="8980" w:type="dxa"/>
            <w:vAlign w:val="bottom"/>
          </w:tcPr>
          <w:p>
            <w:pPr>
              <w:spacing w:after="0"/>
              <w:rPr>
                <w:sz w:val="20"/>
                <w:szCs w:val="20"/>
                <w:color w:val="auto"/>
              </w:rPr>
            </w:pPr>
            <w:r>
              <w:rPr>
                <w:rFonts w:ascii="Arial" w:cs="Arial" w:eastAsia="Arial" w:hAnsi="Arial"/>
                <w:sz w:val="18"/>
                <w:szCs w:val="18"/>
                <w:color w:val="auto"/>
              </w:rPr>
              <w:t>Identifiable intangible assets (customer relationship with estimated 6 years of useful life)</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r>
      <w:tr>
        <w:trPr>
          <w:trHeight w:val="230"/>
        </w:trPr>
        <w:tc>
          <w:tcPr>
            <w:tcW w:w="898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FF0FC"/>
          </w:tcPr>
          <w:p>
            <w:pPr>
              <w:spacing w:after="0"/>
              <w:rPr>
                <w:sz w:val="19"/>
                <w:szCs w:val="19"/>
                <w:color w:val="auto"/>
              </w:rPr>
            </w:pPr>
          </w:p>
        </w:tc>
      </w:tr>
      <w:tr>
        <w:trPr>
          <w:trHeight w:val="229"/>
        </w:trPr>
        <w:tc>
          <w:tcPr>
            <w:tcW w:w="8980" w:type="dxa"/>
            <w:vAlign w:val="bottom"/>
          </w:tcPr>
          <w:p>
            <w:pPr>
              <w:spacing w:after="0"/>
              <w:rPr>
                <w:sz w:val="20"/>
                <w:szCs w:val="20"/>
                <w:color w:val="auto"/>
              </w:rPr>
            </w:pPr>
            <w:r>
              <w:rPr>
                <w:rFonts w:ascii="Arial" w:cs="Arial" w:eastAsia="Arial" w:hAnsi="Arial"/>
                <w:sz w:val="18"/>
                <w:szCs w:val="18"/>
                <w:color w:val="auto"/>
              </w:rPr>
              <w:t>Liabilities assumed:</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898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(2,670)</w:t>
            </w:r>
          </w:p>
        </w:tc>
      </w:tr>
      <w:tr>
        <w:trPr>
          <w:trHeight w:val="230"/>
        </w:trPr>
        <w:tc>
          <w:tcPr>
            <w:tcW w:w="8980" w:type="dxa"/>
            <w:vAlign w:val="bottom"/>
          </w:tcPr>
          <w:p>
            <w:pPr>
              <w:spacing w:after="0"/>
              <w:rPr>
                <w:sz w:val="20"/>
                <w:szCs w:val="20"/>
                <w:color w:val="auto"/>
              </w:rPr>
            </w:pPr>
            <w:r>
              <w:rPr>
                <w:rFonts w:ascii="Arial" w:cs="Arial" w:eastAsia="Arial" w:hAnsi="Arial"/>
                <w:sz w:val="18"/>
                <w:szCs w:val="18"/>
                <w:color w:val="auto"/>
              </w:rPr>
              <w:t>Other liabilities and accrued expenses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00" w:type="dxa"/>
            <w:vAlign w:val="bottom"/>
            <w:gridSpan w:val="2"/>
          </w:tcPr>
          <w:p>
            <w:pPr>
              <w:jc w:val="right"/>
              <w:ind w:right="60"/>
              <w:spacing w:after="0"/>
              <w:rPr>
                <w:sz w:val="20"/>
                <w:szCs w:val="20"/>
                <w:color w:val="auto"/>
              </w:rPr>
            </w:pPr>
            <w:r>
              <w:rPr>
                <w:rFonts w:ascii="Arial" w:cs="Arial" w:eastAsia="Arial" w:hAnsi="Arial"/>
                <w:sz w:val="18"/>
                <w:szCs w:val="18"/>
                <w:color w:val="auto"/>
              </w:rPr>
              <w:t>(3,033)</w:t>
            </w:r>
          </w:p>
        </w:tc>
      </w:tr>
      <w:tr>
        <w:trPr>
          <w:trHeight w:val="230"/>
        </w:trPr>
        <w:tc>
          <w:tcPr>
            <w:tcW w:w="898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 noncurrent</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(447)</w:t>
            </w:r>
          </w:p>
        </w:tc>
      </w:tr>
      <w:tr>
        <w:trPr>
          <w:trHeight w:val="223"/>
        </w:trPr>
        <w:tc>
          <w:tcPr>
            <w:tcW w:w="8980" w:type="dxa"/>
            <w:vAlign w:val="bottom"/>
          </w:tcPr>
          <w:p>
            <w:pPr>
              <w:ind w:left="140"/>
              <w:spacing w:after="0"/>
              <w:rPr>
                <w:sz w:val="20"/>
                <w:szCs w:val="20"/>
                <w:color w:val="auto"/>
              </w:rPr>
            </w:pPr>
            <w:r>
              <w:rPr>
                <w:rFonts w:ascii="Arial" w:cs="Arial" w:eastAsia="Arial" w:hAnsi="Arial"/>
                <w:sz w:val="18"/>
                <w:szCs w:val="18"/>
                <w:color w:val="auto"/>
              </w:rPr>
              <w:t>Net identifiable assets acquired</w:t>
            </w:r>
          </w:p>
        </w:tc>
        <w:tc>
          <w:tcPr>
            <w:tcW w:w="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1,499</w:t>
            </w:r>
          </w:p>
        </w:tc>
        <w:tc>
          <w:tcPr>
            <w:tcW w:w="120" w:type="dxa"/>
            <w:vAlign w:val="bottom"/>
          </w:tcPr>
          <w:p>
            <w:pPr>
              <w:spacing w:after="0"/>
              <w:rPr>
                <w:sz w:val="19"/>
                <w:szCs w:val="19"/>
                <w:color w:val="auto"/>
              </w:rPr>
            </w:pPr>
          </w:p>
        </w:tc>
      </w:tr>
      <w:tr>
        <w:trPr>
          <w:trHeight w:val="230"/>
        </w:trPr>
        <w:tc>
          <w:tcPr>
            <w:tcW w:w="898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12,270</w:t>
            </w:r>
          </w:p>
        </w:tc>
        <w:tc>
          <w:tcPr>
            <w:tcW w:w="120" w:type="dxa"/>
            <w:vAlign w:val="bottom"/>
            <w:shd w:val="clear" w:color="auto" w:fill="CFF0FC"/>
          </w:tcPr>
          <w:p>
            <w:pPr>
              <w:spacing w:after="0"/>
              <w:rPr>
                <w:sz w:val="19"/>
                <w:szCs w:val="19"/>
                <w:color w:val="auto"/>
              </w:rPr>
            </w:pPr>
          </w:p>
        </w:tc>
      </w:tr>
      <w:tr>
        <w:trPr>
          <w:trHeight w:val="223"/>
        </w:trPr>
        <w:tc>
          <w:tcPr>
            <w:tcW w:w="8980" w:type="dxa"/>
            <w:vAlign w:val="bottom"/>
          </w:tcPr>
          <w:p>
            <w:pPr>
              <w:ind w:left="140"/>
              <w:spacing w:after="0"/>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13,769</w:t>
            </w:r>
          </w:p>
        </w:tc>
        <w:tc>
          <w:tcPr>
            <w:tcW w:w="120" w:type="dxa"/>
            <w:vAlign w:val="bottom"/>
          </w:tcPr>
          <w:p>
            <w:pPr>
              <w:spacing w:after="0"/>
              <w:rPr>
                <w:sz w:val="19"/>
                <w:szCs w:val="19"/>
                <w:color w:val="auto"/>
              </w:rPr>
            </w:pPr>
          </w:p>
        </w:tc>
      </w:tr>
      <w:tr>
        <w:trPr>
          <w:trHeight w:val="20"/>
        </w:trPr>
        <w:tc>
          <w:tcPr>
            <w:tcW w:w="8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goodwill and identifiable intangible assets are deductible for tax purposes.</w:t>
      </w:r>
    </w:p>
    <w:p>
      <w:pPr>
        <w:spacing w:after="0" w:line="225" w:lineRule="exact"/>
        <w:rPr>
          <w:sz w:val="20"/>
          <w:szCs w:val="20"/>
          <w:color w:val="auto"/>
        </w:rPr>
      </w:pPr>
    </w:p>
    <w:p>
      <w:pPr>
        <w:ind w:right="160" w:firstLine="510"/>
        <w:spacing w:after="0" w:line="255" w:lineRule="auto"/>
        <w:rPr>
          <w:sz w:val="20"/>
          <w:szCs w:val="20"/>
          <w:color w:val="auto"/>
        </w:rPr>
      </w:pPr>
      <w:r>
        <w:rPr>
          <w:rFonts w:ascii="Arial" w:cs="Arial" w:eastAsia="Arial" w:hAnsi="Arial"/>
          <w:sz w:val="18"/>
          <w:szCs w:val="18"/>
          <w:color w:val="auto"/>
        </w:rPr>
        <w:t>The estimated fair value of Origin’s contingent earn-out decreased from $4.6 million at the Origin Closing Date to $4.0 million at December 31, 2019, primarily resulting from Origin’s lower-than-expected EBITDA for the projected 2020 earn-out period. The reduction in fair value of $0.6 million was recorded as a reduction to sales and general administrative expenses in the condensed combined consolidated statement of operations in the fourth quarter of 2019. The earn-out liability of $2.4 million contingent upon Origin’s 2019 standalone EBITDA was fully paid in April 2020. During the nine months ended September 30, 2020, there was no material change in the fair value of the remaining earn-out liability that is contingent upon Origin’s 2020 standalone EBITDA results.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costs</w:t>
      </w:r>
    </w:p>
    <w:p>
      <w:pPr>
        <w:spacing w:after="0" w:line="117"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We incurred acquisition-related costs of approximately $0.3 million and $1.1 million for the three months ended September 30, 2020 and 2019, respectively, and $0.8 million and $1.4 million for the nine months ended September 30, 2020 and 2019, respectively, and these costs are recorded in sales, general and administrative expenses in the condensed combined consolidated statement of operations.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Financial Information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unaudited pro forma financial information combines the unaudited condensed combined consolidated results of operations as if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SCUF Acquisition had occurred as of January 1, 2019: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jc w:val="right"/>
              <w:ind w:right="241"/>
              <w:spacing w:after="0"/>
              <w:rPr>
                <w:sz w:val="20"/>
                <w:szCs w:val="20"/>
                <w:color w:val="auto"/>
              </w:rPr>
            </w:pPr>
            <w:r>
              <w:rPr>
                <w:rFonts w:ascii="Arial" w:cs="Arial" w:eastAsia="Arial" w:hAnsi="Arial"/>
                <w:sz w:val="14"/>
                <w:szCs w:val="14"/>
                <w:b w:val="1"/>
                <w:bCs w:val="1"/>
                <w:color w:val="auto"/>
                <w:w w:val="91"/>
              </w:rPr>
              <w:t>Three months Ended</w:t>
            </w:r>
          </w:p>
        </w:tc>
        <w:tc>
          <w:tcPr>
            <w:tcW w:w="240" w:type="dxa"/>
            <w:vAlign w:val="bottom"/>
          </w:tcPr>
          <w:p>
            <w:pPr>
              <w:spacing w:after="0"/>
              <w:rPr>
                <w:sz w:val="14"/>
                <w:szCs w:val="14"/>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Nine months Ended</w:t>
            </w:r>
          </w:p>
        </w:tc>
      </w:tr>
      <w:tr>
        <w:trPr>
          <w:trHeight w:val="171"/>
        </w:trPr>
        <w:tc>
          <w:tcPr>
            <w:tcW w:w="7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jc w:val="right"/>
              <w:ind w:right="281"/>
              <w:spacing w:after="0"/>
              <w:rPr>
                <w:sz w:val="20"/>
                <w:szCs w:val="20"/>
                <w:color w:val="auto"/>
              </w:rPr>
            </w:pPr>
            <w:r>
              <w:rPr>
                <w:rFonts w:ascii="Arial" w:cs="Arial" w:eastAsia="Arial" w:hAnsi="Arial"/>
                <w:sz w:val="14"/>
                <w:szCs w:val="14"/>
                <w:b w:val="1"/>
                <w:bCs w:val="1"/>
                <w:color w:val="auto"/>
                <w:w w:val="94"/>
              </w:rPr>
              <w:t>September 30, 2019</w:t>
            </w:r>
          </w:p>
        </w:tc>
        <w:tc>
          <w:tcPr>
            <w:tcW w:w="240" w:type="dxa"/>
            <w:vAlign w:val="bottom"/>
          </w:tcPr>
          <w:p>
            <w:pPr>
              <w:spacing w:after="0"/>
              <w:rPr>
                <w:sz w:val="14"/>
                <w:szCs w:val="14"/>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September 30, 2019</w:t>
            </w:r>
          </w:p>
        </w:tc>
      </w:tr>
      <w:tr>
        <w:trPr>
          <w:trHeight w:val="155"/>
        </w:trPr>
        <w:tc>
          <w:tcPr>
            <w:tcW w:w="77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280" w:type="dxa"/>
            <w:vAlign w:val="bottom"/>
            <w:tcBorders>
              <w:top w:val="single" w:sz="8" w:color="auto"/>
            </w:tcBorders>
            <w:gridSpan w:val="3"/>
          </w:tcPr>
          <w:p>
            <w:pPr>
              <w:jc w:val="right"/>
              <w:ind w:right="1179"/>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ind w:right="121"/>
              <w:spacing w:after="0"/>
              <w:rPr>
                <w:sz w:val="20"/>
                <w:szCs w:val="20"/>
                <w:color w:val="auto"/>
              </w:rPr>
            </w:pPr>
            <w:r>
              <w:rPr>
                <w:rFonts w:ascii="Arial" w:cs="Arial" w:eastAsia="Arial" w:hAnsi="Arial"/>
                <w:sz w:val="18"/>
                <w:szCs w:val="18"/>
                <w:color w:val="auto"/>
              </w:rPr>
              <w:t>299,130</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815,432</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20"/>
                <w:szCs w:val="20"/>
                <w:color w:val="auto"/>
              </w:rPr>
            </w:pPr>
          </w:p>
        </w:tc>
        <w:tc>
          <w:tcPr>
            <w:tcW w:w="1620" w:type="dxa"/>
            <w:vAlign w:val="bottom"/>
          </w:tcPr>
          <w:p>
            <w:pPr>
              <w:jc w:val="right"/>
              <w:ind w:right="41"/>
              <w:spacing w:after="0"/>
              <w:rPr>
                <w:sz w:val="20"/>
                <w:szCs w:val="20"/>
                <w:color w:val="auto"/>
              </w:rPr>
            </w:pPr>
            <w:r>
              <w:rPr>
                <w:rFonts w:ascii="Arial" w:cs="Arial" w:eastAsia="Arial" w:hAnsi="Arial"/>
                <w:sz w:val="18"/>
                <w:szCs w:val="18"/>
                <w:color w:val="auto"/>
              </w:rPr>
              <w:t>(3,101)</w:t>
            </w:r>
          </w:p>
        </w:tc>
        <w:tc>
          <w:tcPr>
            <w:tcW w:w="240" w:type="dxa"/>
            <w:vAlign w:val="bottom"/>
          </w:tcPr>
          <w:p>
            <w:pPr>
              <w:spacing w:after="0"/>
              <w:rPr>
                <w:sz w:val="20"/>
                <w:szCs w:val="20"/>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(25,040)</w:t>
            </w:r>
          </w:p>
        </w:tc>
      </w:tr>
    </w:tbl>
    <w:p>
      <w:pPr>
        <w:spacing w:after="0" w:line="241"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The unaudited pro forma adjustments primarily include amortization for intangible assets acquired, the purchase accounting effect on contract liabilities assumed and inventory acquired, acquisition-related costs and interest expense related to financing arrangements. The unaudited pro forma condensed combined consolidated information is provided for informational purposes only and is not indicative of the results of operations that would have been achieved if the SCUF Acquisition and any borrowings undertaken to finance the SCUF Acquisition had taken place at the beginning of the periods presented.</w:t>
      </w:r>
    </w:p>
    <w:p>
      <w:pPr>
        <w:spacing w:after="0" w:line="188" w:lineRule="exact"/>
        <w:rPr>
          <w:sz w:val="20"/>
          <w:szCs w:val="20"/>
          <w:color w:val="auto"/>
        </w:rPr>
      </w:pPr>
    </w:p>
    <w:p>
      <w:pPr>
        <w:ind w:right="160" w:firstLine="510"/>
        <w:spacing w:after="0" w:line="342" w:lineRule="auto"/>
        <w:rPr>
          <w:sz w:val="20"/>
          <w:szCs w:val="20"/>
          <w:color w:val="auto"/>
        </w:rPr>
      </w:pPr>
      <w:r>
        <w:rPr>
          <w:rFonts w:ascii="Arial" w:cs="Arial" w:eastAsia="Arial" w:hAnsi="Arial"/>
          <w:sz w:val="16"/>
          <w:szCs w:val="16"/>
          <w:color w:val="auto"/>
        </w:rPr>
        <w:t>Pro forma financial information for the Origin Acquisition and the 2020 immaterial acquisition have not been prepared because the effects of these acquisitions were not material to our condensed combined consolidated statements of operations individually or in aggregate for all periods presented.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changes in the carrying amount of goodwill by reportable segment: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5"/>
              </w:rPr>
              <w:t>Gaming</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3"/>
            <w:vMerge w:val="restart"/>
          </w:tcPr>
          <w:p>
            <w:pPr>
              <w:jc w:val="center"/>
              <w:ind w:left="225"/>
              <w:spacing w:after="0"/>
              <w:rPr>
                <w:sz w:val="20"/>
                <w:szCs w:val="20"/>
                <w:color w:val="auto"/>
              </w:rPr>
            </w:pPr>
            <w:r>
              <w:rPr>
                <w:rFonts w:ascii="Arial" w:cs="Arial" w:eastAsia="Arial" w:hAnsi="Arial"/>
                <w:sz w:val="14"/>
                <w:szCs w:val="14"/>
                <w:b w:val="1"/>
                <w:bCs w:val="1"/>
                <w:color w:val="auto"/>
                <w:w w:val="95"/>
              </w:rPr>
              <w:t>Gamer and</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Components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and</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3"/>
          </w:tcPr>
          <w:p>
            <w:pPr>
              <w:jc w:val="center"/>
              <w:ind w:left="205"/>
              <w:spacing w:after="0" w:line="149" w:lineRule="exact"/>
              <w:rPr>
                <w:sz w:val="20"/>
                <w:szCs w:val="20"/>
                <w:color w:val="auto"/>
              </w:rPr>
            </w:pPr>
            <w:r>
              <w:rPr>
                <w:rFonts w:ascii="Arial" w:cs="Arial" w:eastAsia="Arial" w:hAnsi="Arial"/>
                <w:sz w:val="14"/>
                <w:szCs w:val="14"/>
                <w:b w:val="1"/>
                <w:bCs w:val="1"/>
                <w:color w:val="auto"/>
                <w:w w:val="96"/>
              </w:rPr>
              <w:t>Creator</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3"/>
            <w:vMerge w:val="restart"/>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6"/>
              </w:rPr>
              <w:t>Systems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3"/>
          </w:tcPr>
          <w:p>
            <w:pPr>
              <w:jc w:val="center"/>
              <w:ind w:left="205"/>
              <w:spacing w:after="0"/>
              <w:rPr>
                <w:sz w:val="20"/>
                <w:szCs w:val="20"/>
                <w:color w:val="auto"/>
              </w:rPr>
            </w:pPr>
            <w:r>
              <w:rPr>
                <w:rFonts w:ascii="Arial" w:cs="Arial" w:eastAsia="Arial" w:hAnsi="Arial"/>
                <w:sz w:val="14"/>
                <w:szCs w:val="14"/>
                <w:b w:val="1"/>
                <w:bCs w:val="1"/>
                <w:color w:val="auto"/>
                <w:w w:val="94"/>
              </w:rPr>
              <w:t>Peripherals</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5"/>
          </w:tcPr>
          <w:p>
            <w:pPr>
              <w:jc w:val="center"/>
              <w:ind w:right="60"/>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1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2019</w:t>
            </w: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145,375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545"/>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89"/>
              </w:rPr>
              <w:t>167,375</w:t>
            </w:r>
          </w:p>
        </w:tc>
        <w:tc>
          <w:tcPr>
            <w:tcW w:w="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312,750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60"/>
              <w:spacing w:after="0"/>
              <w:rPr>
                <w:sz w:val="20"/>
                <w:szCs w:val="20"/>
                <w:color w:val="auto"/>
              </w:rPr>
            </w:pPr>
            <w:r>
              <w:rPr>
                <w:rFonts w:ascii="Arial" w:cs="Arial" w:eastAsia="Arial" w:hAnsi="Arial"/>
                <w:sz w:val="18"/>
                <w:szCs w:val="18"/>
                <w:color w:val="auto"/>
              </w:rPr>
              <w:t>Addition from business acquisition</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185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Measurement period adjustments</w:t>
            </w: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(1,023)</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60"/>
              <w:spacing w:after="0"/>
              <w:rPr>
                <w:sz w:val="20"/>
                <w:szCs w:val="20"/>
                <w:color w:val="auto"/>
              </w:rPr>
            </w:pPr>
            <w:r>
              <w:rPr>
                <w:rFonts w:ascii="Arial" w:cs="Arial" w:eastAsia="Arial" w:hAnsi="Arial"/>
                <w:sz w:val="18"/>
                <w:szCs w:val="18"/>
                <w:color w:val="auto"/>
              </w:rPr>
              <w:t>Effect of foreign currency exchange rates</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284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(576)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September 30, 2020</w:t>
            </w:r>
          </w:p>
        </w:tc>
        <w:tc>
          <w:tcPr>
            <w:tcW w:w="7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6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145,612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ind w:right="545"/>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89"/>
              </w:rPr>
              <w:t>165,961</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311,573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Intangible assets, net</w:t>
            </w: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394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0" w:type="dxa"/>
            <w:vAlign w:val="bottom"/>
            <w:gridSpan w:val="3"/>
          </w:tcPr>
          <w:p>
            <w:pPr>
              <w:ind w:left="520"/>
              <w:spacing w:after="0"/>
              <w:rPr>
                <w:sz w:val="20"/>
                <w:szCs w:val="20"/>
                <w:color w:val="auto"/>
              </w:rPr>
            </w:pPr>
            <w:r>
              <w:rPr>
                <w:rFonts w:ascii="Arial" w:cs="Arial" w:eastAsia="Arial" w:hAnsi="Arial"/>
                <w:sz w:val="18"/>
                <w:szCs w:val="18"/>
                <w:color w:val="auto"/>
                <w:w w:val="92"/>
              </w:rPr>
              <w:t>The following table is a summary of intangible assets, net:</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September 30, 2020</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ind w:right="55"/>
              <w:spacing w:after="0" w:line="133" w:lineRule="exact"/>
              <w:rPr>
                <w:sz w:val="20"/>
                <w:szCs w:val="20"/>
                <w:color w:val="auto"/>
              </w:rPr>
            </w:pPr>
            <w:r>
              <w:rPr>
                <w:rFonts w:ascii="Arial" w:cs="Arial" w:eastAsia="Arial" w:hAnsi="Arial"/>
                <w:sz w:val="14"/>
                <w:szCs w:val="14"/>
                <w:b w:val="1"/>
                <w:bCs w:val="1"/>
                <w:color w:val="auto"/>
                <w:w w:val="83"/>
              </w:rPr>
              <w:t>Gross</w:t>
            </w:r>
          </w:p>
        </w:tc>
        <w:tc>
          <w:tcPr>
            <w:tcW w:w="260" w:type="dxa"/>
            <w:vAlign w:val="bottom"/>
          </w:tcPr>
          <w:p>
            <w:pPr>
              <w:spacing w:after="0"/>
              <w:rPr>
                <w:sz w:val="11"/>
                <w:szCs w:val="11"/>
                <w:color w:val="auto"/>
              </w:rPr>
            </w:pPr>
          </w:p>
        </w:tc>
        <w:tc>
          <w:tcPr>
            <w:tcW w:w="1060" w:type="dxa"/>
            <w:vAlign w:val="bottom"/>
            <w:gridSpan w:val="4"/>
            <w:vMerge w:val="restart"/>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36"/>
              <w:spacing w:after="0" w:line="133" w:lineRule="exact"/>
              <w:rPr>
                <w:sz w:val="20"/>
                <w:szCs w:val="20"/>
                <w:color w:val="auto"/>
              </w:rPr>
            </w:pPr>
            <w:r>
              <w:rPr>
                <w:rFonts w:ascii="Arial" w:cs="Arial" w:eastAsia="Arial" w:hAnsi="Arial"/>
                <w:sz w:val="14"/>
                <w:szCs w:val="14"/>
                <w:b w:val="1"/>
                <w:bCs w:val="1"/>
                <w:color w:val="auto"/>
                <w:w w:val="88"/>
              </w:rPr>
              <w:t>Net</w:t>
            </w:r>
          </w:p>
        </w:tc>
        <w:tc>
          <w:tcPr>
            <w:tcW w:w="20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jc w:val="center"/>
              <w:ind w:right="85"/>
              <w:spacing w:after="0" w:line="13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1060" w:type="dxa"/>
            <w:vAlign w:val="bottom"/>
            <w:gridSpan w:val="6"/>
            <w:vMerge w:val="restart"/>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53"/>
              <w:spacing w:after="0" w:line="133" w:lineRule="exact"/>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760" w:type="dxa"/>
            <w:vAlign w:val="bottom"/>
            <w:gridSpan w:val="2"/>
          </w:tcPr>
          <w:p>
            <w:pPr>
              <w:jc w:val="center"/>
              <w:ind w:right="45"/>
              <w:spacing w:after="0" w:line="149" w:lineRule="exact"/>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2"/>
                <w:szCs w:val="12"/>
                <w:color w:val="auto"/>
              </w:rPr>
            </w:pPr>
          </w:p>
        </w:tc>
        <w:tc>
          <w:tcPr>
            <w:tcW w:w="1060" w:type="dxa"/>
            <w:vAlign w:val="bottom"/>
            <w:gridSpan w:val="6"/>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Carrying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55"/>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4"/>
                <w:szCs w:val="14"/>
                <w:color w:val="auto"/>
              </w:rPr>
            </w:pPr>
          </w:p>
        </w:tc>
        <w:tc>
          <w:tcPr>
            <w:tcW w:w="10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8"/>
              </w:rPr>
              <w:t>Amortization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jc w:val="center"/>
              <w:ind w:right="85"/>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4"/>
                <w:szCs w:val="14"/>
                <w:color w:val="auto"/>
              </w:rPr>
            </w:pPr>
          </w:p>
        </w:tc>
        <w:tc>
          <w:tcPr>
            <w:tcW w:w="1060" w:type="dxa"/>
            <w:vAlign w:val="bottom"/>
            <w:gridSpan w:val="6"/>
          </w:tcPr>
          <w:p>
            <w:pPr>
              <w:ind w:left="20"/>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80" w:type="dxa"/>
            <w:vAlign w:val="bottom"/>
            <w:tcBorders>
              <w:top w:val="single" w:sz="8" w:color="auto"/>
            </w:tcBorders>
            <w:gridSpan w:val="6"/>
          </w:tcPr>
          <w:p>
            <w:pPr>
              <w:jc w:val="right"/>
              <w:ind w:right="525"/>
              <w:spacing w:after="0" w:line="155" w:lineRule="exact"/>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44,883</w:t>
            </w:r>
          </w:p>
        </w:tc>
        <w:tc>
          <w:tcPr>
            <w:tcW w:w="50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21,606</w:t>
            </w:r>
          </w:p>
        </w:tc>
        <w:tc>
          <w:tcPr>
            <w:tcW w:w="16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23,277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44,243</w:t>
            </w:r>
          </w:p>
        </w:tc>
        <w:tc>
          <w:tcPr>
            <w:tcW w:w="3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w w:val="79"/>
              </w:rPr>
              <w:t>$</w:t>
            </w:r>
          </w:p>
        </w:tc>
        <w:tc>
          <w:tcPr>
            <w:tcW w:w="7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17,536</w:t>
            </w:r>
          </w:p>
        </w:tc>
        <w:tc>
          <w:tcPr>
            <w:tcW w:w="18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26,707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Trade name</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30,128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2,388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27,740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30,253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833</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29,420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218,456</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67,397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151,059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218,459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50,916</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167,543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Patent</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29,989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3,007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26,982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30,721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130</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30,591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Non-competition agreements</w:t>
            </w:r>
          </w:p>
        </w:tc>
        <w:tc>
          <w:tcPr>
            <w:tcW w:w="7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3,110</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2,152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3,110</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4"/>
              </w:rPr>
              <w:t>1,774</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tcPr>
          <w:p>
            <w:pPr>
              <w:ind w:left="260"/>
              <w:spacing w:after="0"/>
              <w:rPr>
                <w:sz w:val="20"/>
                <w:szCs w:val="20"/>
                <w:color w:val="auto"/>
              </w:rPr>
            </w:pPr>
            <w:r>
              <w:rPr>
                <w:rFonts w:ascii="Arial" w:cs="Arial" w:eastAsia="Arial" w:hAnsi="Arial"/>
                <w:sz w:val="18"/>
                <w:szCs w:val="18"/>
                <w:color w:val="auto"/>
              </w:rPr>
              <w:t>Total finite-life intangibles</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326,566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96,550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230,016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326,786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71,189</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255,597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Indefinite life trade name</w:t>
            </w: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35,430</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35,430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35,430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35,430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tcPr>
          <w:p>
            <w:pPr>
              <w:ind w:left="260"/>
              <w:spacing w:after="0"/>
              <w:rPr>
                <w:sz w:val="20"/>
                <w:szCs w:val="20"/>
                <w:color w:val="auto"/>
              </w:rPr>
            </w:pPr>
            <w:r>
              <w:rPr>
                <w:rFonts w:ascii="Arial" w:cs="Arial" w:eastAsia="Arial" w:hAnsi="Arial"/>
                <w:sz w:val="18"/>
                <w:szCs w:val="18"/>
                <w:color w:val="auto"/>
              </w:rPr>
              <w:t>Total intangible assets</w:t>
            </w:r>
          </w:p>
        </w:tc>
        <w:tc>
          <w:tcPr>
            <w:tcW w:w="7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361,996</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96,550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265,446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362,216</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71,189</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291,027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3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19"/>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For the three months and nine months ended September 30, 2020, the gross amount for intangible assets increased $0.7 million as a result of an immaterial acquisition. Refer to Note 5 for additional information on our business acquisitions.</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gross carrying amounts of intangible assets are removed when fully amortized.</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estimated future amortization expense of intangible assets as of September 30, 2020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w w:val="92"/>
              </w:rPr>
              <w:t>Amounts</w:t>
            </w:r>
          </w:p>
        </w:tc>
        <w:tc>
          <w:tcPr>
            <w:tcW w:w="0" w:type="dxa"/>
            <w:vAlign w:val="bottom"/>
          </w:tcPr>
          <w:p>
            <w:pPr>
              <w:spacing w:after="0"/>
              <w:rPr>
                <w:sz w:val="1"/>
                <w:szCs w:val="1"/>
                <w:color w:val="auto"/>
              </w:rPr>
            </w:pPr>
          </w:p>
        </w:tc>
      </w:tr>
      <w:tr>
        <w:trPr>
          <w:trHeight w:val="155"/>
        </w:trPr>
        <w:tc>
          <w:tcPr>
            <w:tcW w:w="50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gridSpan w:val="3"/>
          </w:tcPr>
          <w:p>
            <w:pPr>
              <w:ind w:left="160"/>
              <w:spacing w:after="0" w:line="155"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2020 (remaining three months)</w:t>
            </w:r>
          </w:p>
        </w:tc>
        <w:tc>
          <w:tcPr>
            <w:tcW w:w="26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0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8,484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Pr>
          <w:p>
            <w:pPr>
              <w:spacing w:after="0"/>
              <w:rPr>
                <w:sz w:val="20"/>
                <w:szCs w:val="20"/>
                <w:color w:val="auto"/>
              </w:rPr>
            </w:pPr>
            <w:r>
              <w:rPr>
                <w:rFonts w:ascii="Arial" w:cs="Arial" w:eastAsia="Arial" w:hAnsi="Arial"/>
                <w:sz w:val="18"/>
                <w:szCs w:val="18"/>
                <w:color w:val="auto"/>
              </w:rPr>
              <w:t>2021</w:t>
            </w:r>
          </w:p>
        </w:tc>
        <w:tc>
          <w:tcPr>
            <w:tcW w:w="2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33,938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6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33,761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2023</w:t>
            </w:r>
          </w:p>
        </w:tc>
        <w:tc>
          <w:tcPr>
            <w:tcW w:w="2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32,359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6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30,913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6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32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90,561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6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230,016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b w:val="1"/>
                <w:bCs w:val="1"/>
                <w:color w:val="auto"/>
              </w:rPr>
              <w:t>7. Balance Sheet Components</w:t>
            </w: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040" w:type="dxa"/>
            <w:vAlign w:val="bottom"/>
            <w:vMerge w:val="continue"/>
          </w:tcPr>
          <w:p>
            <w:pPr>
              <w:spacing w:after="0"/>
              <w:rPr>
                <w:sz w:val="24"/>
                <w:szCs w:val="24"/>
                <w:color w:val="auto"/>
              </w:rPr>
            </w:pPr>
          </w:p>
        </w:tc>
        <w:tc>
          <w:tcPr>
            <w:tcW w:w="2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040" w:type="dxa"/>
            <w:vAlign w:val="bottom"/>
          </w:tcPr>
          <w:p>
            <w:pPr>
              <w:spacing w:after="0"/>
              <w:rPr>
                <w:sz w:val="20"/>
                <w:szCs w:val="20"/>
                <w:color w:val="auto"/>
              </w:rPr>
            </w:pPr>
            <w:r>
              <w:rPr>
                <w:rFonts w:ascii="Arial" w:cs="Arial" w:eastAsia="Arial" w:hAnsi="Arial"/>
                <w:sz w:val="18"/>
                <w:szCs w:val="18"/>
                <w:b w:val="1"/>
                <w:bCs w:val="1"/>
                <w:i w:val="1"/>
                <w:iCs w:val="1"/>
                <w:color w:val="auto"/>
              </w:rPr>
              <w:t>Cash and Restricted Cash</w:t>
            </w:r>
          </w:p>
        </w:tc>
        <w:tc>
          <w:tcPr>
            <w:tcW w:w="2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50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255"/>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40" w:type="dxa"/>
            <w:vAlign w:val="bottom"/>
            <w:gridSpan w:val="6"/>
          </w:tcPr>
          <w:p>
            <w:pPr>
              <w:ind w:left="1020"/>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2900" w:type="dxa"/>
            <w:vAlign w:val="bottom"/>
            <w:gridSpan w:val="3"/>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116,185</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40" w:type="dxa"/>
            <w:vAlign w:val="bottom"/>
            <w:gridSpan w:val="3"/>
            <w:shd w:val="clear" w:color="auto" w:fill="CFF0FC"/>
          </w:tcPr>
          <w:p>
            <w:pPr>
              <w:jc w:val="right"/>
              <w:ind w:right="159"/>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48,165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Pr>
          <w:p>
            <w:pPr>
              <w:spacing w:after="0"/>
              <w:rPr>
                <w:sz w:val="20"/>
                <w:szCs w:val="20"/>
                <w:color w:val="auto"/>
              </w:rPr>
            </w:pPr>
            <w:r>
              <w:rPr>
                <w:rFonts w:ascii="Arial" w:cs="Arial" w:eastAsia="Arial" w:hAnsi="Arial"/>
                <w:sz w:val="18"/>
                <w:szCs w:val="18"/>
                <w:color w:val="auto"/>
              </w:rPr>
              <w:t>Restricted cash—short term</w:t>
            </w:r>
          </w:p>
        </w:tc>
        <w:tc>
          <w:tcPr>
            <w:tcW w:w="2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3,726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3,552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cash—noncurrent</w:t>
            </w:r>
          </w:p>
        </w:tc>
        <w:tc>
          <w:tcPr>
            <w:tcW w:w="268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2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140"/>
              <w:spacing w:after="0"/>
              <w:rPr>
                <w:sz w:val="20"/>
                <w:szCs w:val="20"/>
                <w:color w:val="auto"/>
              </w:rPr>
            </w:pPr>
            <w:r>
              <w:rPr>
                <w:rFonts w:ascii="Arial" w:cs="Arial" w:eastAsia="Arial" w:hAnsi="Arial"/>
                <w:sz w:val="18"/>
                <w:szCs w:val="18"/>
                <w:color w:val="auto"/>
              </w:rPr>
              <w:t>Total cash and restricted cash</w:t>
            </w:r>
          </w:p>
        </w:tc>
        <w:tc>
          <w:tcPr>
            <w:tcW w:w="268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120,141</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51,947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Accounts Receivable, net:</w:t>
            </w:r>
          </w:p>
        </w:tc>
        <w:tc>
          <w:tcPr>
            <w:tcW w:w="26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040" w:type="dxa"/>
            <w:vAlign w:val="bottom"/>
            <w:vMerge w:val="continue"/>
          </w:tcPr>
          <w:p>
            <w:pPr>
              <w:spacing w:after="0"/>
              <w:rPr>
                <w:sz w:val="24"/>
                <w:szCs w:val="24"/>
                <w:color w:val="auto"/>
              </w:rPr>
            </w:pPr>
          </w:p>
        </w:tc>
        <w:tc>
          <w:tcPr>
            <w:tcW w:w="2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50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40" w:type="dxa"/>
            <w:vAlign w:val="bottom"/>
            <w:gridSpan w:val="6"/>
          </w:tcPr>
          <w:p>
            <w:pPr>
              <w:ind w:left="104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2900" w:type="dxa"/>
            <w:vAlign w:val="bottom"/>
            <w:gridSpan w:val="3"/>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260,476</w:t>
            </w:r>
          </w:p>
        </w:tc>
        <w:tc>
          <w:tcPr>
            <w:tcW w:w="160" w:type="dxa"/>
            <w:vAlign w:val="bottom"/>
            <w:shd w:val="clear" w:color="auto" w:fill="CFF0FC"/>
          </w:tcPr>
          <w:p>
            <w:pPr>
              <w:spacing w:after="0"/>
              <w:rPr>
                <w:sz w:val="19"/>
                <w:szCs w:val="19"/>
                <w:color w:val="auto"/>
              </w:rPr>
            </w:pPr>
          </w:p>
        </w:tc>
        <w:tc>
          <w:tcPr>
            <w:tcW w:w="44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202,546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(934)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23"/>
        </w:trPr>
        <w:tc>
          <w:tcPr>
            <w:tcW w:w="50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270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259,542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202,334</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September 30, 2020, and December 31, 2019, two customers each represented 10% or more of our consolidated accounts receivable, net.</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14"/>
                <w:szCs w:val="14"/>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38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45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29,937</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25,547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Work in progress</w:t>
            </w:r>
          </w:p>
        </w:tc>
        <w:tc>
          <w:tcPr>
            <w:tcW w:w="4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17,842</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2,690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43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162,372</w:t>
            </w:r>
          </w:p>
        </w:tc>
        <w:tc>
          <w:tcPr>
            <w:tcW w:w="2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122,826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43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210,151</w:t>
            </w:r>
          </w:p>
        </w:tc>
        <w:tc>
          <w:tcPr>
            <w:tcW w:w="2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151,063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4340" w:type="dxa"/>
            <w:vAlign w:val="bottom"/>
            <w:vMerge w:val="restart"/>
          </w:tcPr>
          <w:p>
            <w:pPr>
              <w:jc w:val="right"/>
              <w:ind w:right="1910"/>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380" w:type="dxa"/>
            <w:vAlign w:val="bottom"/>
          </w:tcPr>
          <w:p>
            <w:pPr>
              <w:spacing w:after="0"/>
              <w:rPr>
                <w:sz w:val="24"/>
                <w:szCs w:val="24"/>
                <w:color w:val="auto"/>
              </w:rPr>
            </w:pPr>
          </w:p>
        </w:tc>
        <w:tc>
          <w:tcPr>
            <w:tcW w:w="43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80" w:type="dxa"/>
            <w:vAlign w:val="bottom"/>
            <w:tcBorders>
              <w:bottom w:val="single" w:sz="8" w:color="9A9A9A"/>
            </w:tcBorders>
          </w:tcPr>
          <w:p>
            <w:pPr>
              <w:spacing w:after="0"/>
              <w:rPr>
                <w:sz w:val="10"/>
                <w:szCs w:val="10"/>
                <w:color w:val="auto"/>
              </w:rPr>
            </w:pPr>
          </w:p>
        </w:tc>
        <w:tc>
          <w:tcPr>
            <w:tcW w:w="43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57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40" w:type="dxa"/>
            <w:vAlign w:val="bottom"/>
            <w:gridSpan w:val="6"/>
          </w:tcPr>
          <w:p>
            <w:pPr>
              <w:ind w:left="104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Manufacturing equipment</w:t>
            </w:r>
          </w:p>
        </w:tc>
        <w:tc>
          <w:tcPr>
            <w:tcW w:w="2180" w:type="dxa"/>
            <w:vAlign w:val="bottom"/>
            <w:gridSpan w:val="3"/>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18,939</w:t>
            </w:r>
          </w:p>
        </w:tc>
        <w:tc>
          <w:tcPr>
            <w:tcW w:w="160" w:type="dxa"/>
            <w:vAlign w:val="bottom"/>
            <w:shd w:val="clear" w:color="auto" w:fill="CFF0FC"/>
          </w:tcPr>
          <w:p>
            <w:pPr>
              <w:spacing w:after="0"/>
              <w:rPr>
                <w:sz w:val="19"/>
                <w:szCs w:val="19"/>
                <w:color w:val="auto"/>
              </w:rPr>
            </w:pPr>
          </w:p>
        </w:tc>
        <w:tc>
          <w:tcPr>
            <w:tcW w:w="44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60" w:type="dxa"/>
            <w:vAlign w:val="bottom"/>
          </w:tcPr>
          <w:p>
            <w:pPr>
              <w:spacing w:after="0"/>
              <w:rPr>
                <w:sz w:val="20"/>
                <w:szCs w:val="20"/>
                <w:color w:val="auto"/>
              </w:rPr>
            </w:pPr>
            <w:r>
              <w:rPr>
                <w:rFonts w:ascii="Arial" w:cs="Arial" w:eastAsia="Arial" w:hAnsi="Arial"/>
                <w:sz w:val="18"/>
                <w:szCs w:val="18"/>
                <w:color w:val="auto"/>
              </w:rPr>
              <w:t>Computer equipment, software and office equipment</w:t>
            </w:r>
          </w:p>
        </w:tc>
        <w:tc>
          <w:tcPr>
            <w:tcW w:w="1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9,489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19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3,342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Leasehold improvements</w:t>
            </w:r>
          </w:p>
        </w:tc>
        <w:tc>
          <w:tcPr>
            <w:tcW w:w="19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3,951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property and equipment</w:t>
            </w:r>
          </w:p>
        </w:tc>
        <w:tc>
          <w:tcPr>
            <w:tcW w:w="19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35,721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(20,317)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(13,030)</w:t>
            </w:r>
          </w:p>
        </w:tc>
        <w:tc>
          <w:tcPr>
            <w:tcW w:w="0" w:type="dxa"/>
            <w:vAlign w:val="bottom"/>
          </w:tcPr>
          <w:p>
            <w:pPr>
              <w:spacing w:after="0"/>
              <w:rPr>
                <w:sz w:val="1"/>
                <w:szCs w:val="1"/>
                <w:color w:val="auto"/>
              </w:rPr>
            </w:pPr>
          </w:p>
        </w:tc>
      </w:tr>
      <w:tr>
        <w:trPr>
          <w:trHeight w:val="223"/>
        </w:trPr>
        <w:tc>
          <w:tcPr>
            <w:tcW w:w="57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Property and equipment, net</w:t>
            </w:r>
          </w:p>
        </w:tc>
        <w:tc>
          <w:tcPr>
            <w:tcW w:w="19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15,404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15,365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Other Liabilities and Accrued Expenses</w:t>
            </w: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760" w:type="dxa"/>
            <w:vAlign w:val="bottom"/>
            <w:vMerge w:val="continue"/>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57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57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40" w:type="dxa"/>
            <w:vAlign w:val="bottom"/>
            <w:gridSpan w:val="6"/>
          </w:tcPr>
          <w:p>
            <w:pPr>
              <w:ind w:left="1020"/>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Accrued reserves for customer incentive programs</w:t>
            </w:r>
          </w:p>
        </w:tc>
        <w:tc>
          <w:tcPr>
            <w:tcW w:w="2180" w:type="dxa"/>
            <w:vAlign w:val="bottom"/>
            <w:gridSpan w:val="3"/>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40,318</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40" w:type="dxa"/>
            <w:vAlign w:val="bottom"/>
            <w:gridSpan w:val="3"/>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Accrued reserves for sales return</w:t>
            </w:r>
          </w:p>
        </w:tc>
        <w:tc>
          <w:tcPr>
            <w:tcW w:w="1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29,805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24,610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 and related expense</w:t>
            </w:r>
          </w:p>
        </w:tc>
        <w:tc>
          <w:tcPr>
            <w:tcW w:w="19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22,474</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Income tax payable</w:t>
            </w:r>
          </w:p>
        </w:tc>
        <w:tc>
          <w:tcPr>
            <w:tcW w:w="1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20,929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current</w:t>
            </w:r>
          </w:p>
        </w:tc>
        <w:tc>
          <w:tcPr>
            <w:tcW w:w="19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8,883</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9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47,177</w:t>
            </w: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35,187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Other liabilities and accrued expenses</w:t>
            </w:r>
          </w:p>
        </w:tc>
        <w:tc>
          <w:tcPr>
            <w:tcW w:w="19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gridSpan w:val="2"/>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169,586</w:t>
            </w: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115,541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7"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Contract assets represent amounts that have been recognized as revenue but for which we did not have the unconditional right to invoice the customer yet. There were no unbilled accounts receivable recorded within our accounts receivable, net on the condensed combined consolidated balance sheets as of September 30, 2020 and December 31, 2019.</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Contract liabilities consist of deferred revenue and unearned revenue.</w:t>
      </w:r>
    </w:p>
    <w:p>
      <w:pPr>
        <w:spacing w:after="0" w:line="225" w:lineRule="exact"/>
        <w:rPr>
          <w:sz w:val="20"/>
          <w:szCs w:val="20"/>
          <w:color w:val="auto"/>
        </w:rPr>
      </w:pPr>
    </w:p>
    <w:p>
      <w:pPr>
        <w:ind w:right="260" w:firstLine="510"/>
        <w:spacing w:after="0" w:line="259" w:lineRule="auto"/>
        <w:rPr>
          <w:sz w:val="20"/>
          <w:szCs w:val="20"/>
          <w:color w:val="auto"/>
        </w:rPr>
      </w:pPr>
      <w:r>
        <w:rPr>
          <w:rFonts w:ascii="Arial" w:cs="Arial" w:eastAsia="Arial" w:hAnsi="Arial"/>
          <w:sz w:val="18"/>
          <w:szCs w:val="18"/>
          <w:color w:val="auto"/>
        </w:rPr>
        <w:t>Deferred revenue consists primarily of amounts that have been shipped and invoiced, but the control of the inventory has not been passed to the customer yet. The current portion of deferred revenue balances are recognized over the next 12 months. As of September 30, 2020, the current and long-term portion of our deferred revenue was $1.1 million and $0.4 million, respectively. As of December 31, 2019, the current and long-term portion of our deferred revenue was $3.3 million and $0.4 million, respectively.</w:t>
      </w:r>
    </w:p>
    <w:p>
      <w:pPr>
        <w:spacing w:after="0" w:line="18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Unearned revenue consists of payments received from customers in advance of product shipment for our webstore orders. These orders are generally shipped within two weeks from order date. The unearned revenue balance as of September 30, 2020 and December 31, 2019 was $4.1 million and $1.3 million, respectively.</w:t>
      </w:r>
    </w:p>
    <w:p>
      <w:pPr>
        <w:spacing w:after="0" w:line="184"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Unearned revenue and the current portion of deferred revenue are included in other liabilities and accrued expenses, and the long-term portion of deferred revenue is included in other liabilities on the condensed combined consolidated balance sheets.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Lien Credit and Guaranty Agreement</w:t>
      </w:r>
    </w:p>
    <w:p>
      <w:pPr>
        <w:spacing w:after="0" w:line="117"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On August 28, 2017, we entered into a syndicated First Lien Credit and Guaranty Agreement (</w:t>
      </w:r>
      <w:r>
        <w:rPr>
          <w:rFonts w:ascii="Arial" w:cs="Arial" w:eastAsia="Arial" w:hAnsi="Arial"/>
          <w:sz w:val="16"/>
          <w:szCs w:val="16"/>
          <w:i w:val="1"/>
          <w:iCs w:val="1"/>
          <w:color w:val="auto"/>
        </w:rPr>
        <w:t>“First Lien”</w:t>
      </w:r>
      <w:r>
        <w:rPr>
          <w:rFonts w:ascii="Arial" w:cs="Arial" w:eastAsia="Arial" w:hAnsi="Arial"/>
          <w:sz w:val="16"/>
          <w:szCs w:val="16"/>
          <w:color w:val="auto"/>
        </w:rPr>
        <w:t>) with various financial institutions. The First Lien originally provided a $235 million term loan (</w:t>
      </w:r>
      <w:r>
        <w:rPr>
          <w:rFonts w:ascii="Arial" w:cs="Arial" w:eastAsia="Arial" w:hAnsi="Arial"/>
          <w:sz w:val="16"/>
          <w:szCs w:val="16"/>
          <w:i w:val="1"/>
          <w:iCs w:val="1"/>
          <w:color w:val="auto"/>
        </w:rPr>
        <w:t>“First Lien Term Loan”</w:t>
      </w:r>
      <w:r>
        <w:rPr>
          <w:rFonts w:ascii="Arial" w:cs="Arial" w:eastAsia="Arial" w:hAnsi="Arial"/>
          <w:sz w:val="16"/>
          <w:szCs w:val="16"/>
          <w:color w:val="auto"/>
        </w:rPr>
        <w:t>) for a business acquisition and to repay existing indebtedness of the acquired company and a $50 million revolving line-of-credit (</w:t>
      </w:r>
      <w:r>
        <w:rPr>
          <w:rFonts w:ascii="Arial" w:cs="Arial" w:eastAsia="Arial" w:hAnsi="Arial"/>
          <w:sz w:val="16"/>
          <w:szCs w:val="16"/>
          <w:i w:val="1"/>
          <w:iCs w:val="1"/>
          <w:color w:val="auto"/>
        </w:rPr>
        <w:t>“Revolver”</w:t>
      </w:r>
      <w:r>
        <w:rPr>
          <w:rFonts w:ascii="Arial" w:cs="Arial" w:eastAsia="Arial" w:hAnsi="Arial"/>
          <w:sz w:val="16"/>
          <w:szCs w:val="16"/>
          <w:color w:val="auto"/>
        </w:rPr>
        <w:t>). The First Lien and the Revolver matures on August 28, 2024 and August 28, 2022, respectively. Subsequently, we entered into several amendments to the First Lien and the principal amount of the First Lien Term Loan was increased by $10 million in 2017 and increased by $115 million in each of 2018 and 2019, primarily to fund various business acquisitions and operation needs.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First Lien Term Loan initially carried interest at a rate equal to, at our election, either the (a) greatest of (i) the prime rate, (ii) sum of the Federal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Funds Effective Rate plus 0.5%, (iii) one month LIBOR plus 1.0% and (iv) 2%, plus a margin of 3.5%, or (b) the greater of (i) LIBOR and (ii) 1.0%, plus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margin of 4.5%. The Revolver initially bore interest at a rate equal to, at our election, either the (a) greatest of (i) the prime rate, (ii) sum of the Federal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Funds Effective Rate plus 0.5%, (iii) one month LIBOR plus 1.0% and (iv) 2%, plus 3.5%, or (b) the greater of (i) LIBOR and (ii) 1.0%, plus a margin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4.5%. As a result of the First Lien amendment in October 2018, the First Lien term loan and Revolver margin were both changed to range from 2.75%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3.25% for base rate loans and to range from 3.75% to 4.25% for Eurodollar loans, based on our net leverage ratio.</w:t>
      </w:r>
    </w:p>
    <w:p>
      <w:pPr>
        <w:spacing w:after="0" w:line="211"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Additionally, new contingent repayment provisions were added in the First Lien amendment in October 2018. Five business days after the initial public offering (</w:t>
      </w:r>
      <w:r>
        <w:rPr>
          <w:rFonts w:ascii="Arial" w:cs="Arial" w:eastAsia="Arial" w:hAnsi="Arial"/>
          <w:sz w:val="18"/>
          <w:szCs w:val="18"/>
          <w:i w:val="1"/>
          <w:iCs w:val="1"/>
          <w:color w:val="auto"/>
        </w:rPr>
        <w:t>“IPO”</w:t>
      </w:r>
      <w:r>
        <w:rPr>
          <w:rFonts w:ascii="Arial" w:cs="Arial" w:eastAsia="Arial" w:hAnsi="Arial"/>
          <w:sz w:val="18"/>
          <w:szCs w:val="18"/>
          <w:color w:val="auto"/>
        </w:rPr>
        <w:t>) of our stock, we were required to prepay all amounts (principal and interest) outstanding under the Second Lien term loan. Concurrently, we also were required to prepay the First Lien Term Loan in an amount equal to the IPO proceeds, less the amount used to repay the Second Lien Term Loan, multiplied by 50%. Accordingly, in September 2020, with the IPO proceeds, we repaid the mandatory minimum amount of $55.8 million and made an additional $30.8 million voluntary repayment.</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may prepay the First Lien Term Loan and the Revolver at any time without premium or penalty other than customary LIBOR breakage.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According to the Consolidated Excess Cash Flow clause as defined in the First Lien, in April 2020, we prepaid $2.6 million of the First Lien Term Loan.</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amendments to the First Lien were accounted for as loan modifications.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carrying value of the First Lien Term Loan: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14"/>
                <w:szCs w:val="14"/>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77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156"/>
        </w:trPr>
        <w:tc>
          <w:tcPr>
            <w:tcW w:w="7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Principal amount outstanding</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376,938</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467,332</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Less: Debt discount, net of amortization</w:t>
            </w:r>
          </w:p>
        </w:tc>
        <w:tc>
          <w:tcPr>
            <w:tcW w:w="22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(2,623)</w:t>
            </w:r>
          </w:p>
        </w:tc>
        <w:tc>
          <w:tcPr>
            <w:tcW w:w="3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(3,850)</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Less: Debt issuance costs, net of amortization</w:t>
            </w:r>
          </w:p>
        </w:tc>
        <w:tc>
          <w:tcPr>
            <w:tcW w:w="2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(4,225)</w:t>
            </w: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(5,825)</w:t>
            </w: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Carrying amount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370,090</w:t>
            </w:r>
          </w:p>
        </w:tc>
        <w:tc>
          <w:tcPr>
            <w:tcW w:w="2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457,657</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510"/>
        <w:spacing w:after="0" w:line="265" w:lineRule="auto"/>
        <w:rPr>
          <w:sz w:val="20"/>
          <w:szCs w:val="20"/>
          <w:color w:val="auto"/>
        </w:rPr>
      </w:pPr>
      <w:r>
        <w:rPr>
          <w:rFonts w:ascii="Arial" w:cs="Arial" w:eastAsia="Arial" w:hAnsi="Arial"/>
          <w:sz w:val="18"/>
          <w:szCs w:val="18"/>
          <w:color w:val="auto"/>
        </w:rPr>
        <w:t>Our obligation under the First Lien is secured by substantially all of our personal property assets and those of our United States-organized subsidiaries, including intellectual property. The First Lien Term Loan includes customary restrictive covenants that impose operating and financial restrictions on Corsair, including restrictions on our ability to take actions that could be in our best interests. These restrictive covenants include operating covenants restricting, among other things, our ability to incur additional indebtedness, effect certain acquisitions or make other fundamental changes. As of September 30, 2020, we were in compliance with all covenants.</w:t>
      </w:r>
    </w:p>
    <w:p>
      <w:pPr>
        <w:spacing w:after="0" w:line="180"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In addition, the First Lien contains events of default that include, among others, non-payment of principal, interest or fees, breach of covenants, inaccuracy of representations and warranties, cross defaults to certain other indebtedness, bankruptcy and insolvency events, material judgments and events constituting a change of control. Upon the occurrence and during the continuance of an event of default, interest on the obligations may accrue at an increased rate in the case of a non-payment or bankruptcy and insolvency and the lenders may accelerate our obligations under the First Lien Term Loan, except that acceleration will be automatic in the case of bankruptcy and insolvency events of default.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Lien Credit and Guaranty Agreement</w:t>
      </w:r>
    </w:p>
    <w:p>
      <w:pPr>
        <w:spacing w:after="0" w:line="117" w:lineRule="exact"/>
        <w:rPr>
          <w:sz w:val="20"/>
          <w:szCs w:val="20"/>
          <w:color w:val="auto"/>
        </w:rPr>
      </w:pPr>
    </w:p>
    <w:p>
      <w:pPr>
        <w:ind w:right="140" w:firstLine="510"/>
        <w:spacing w:after="0" w:line="293" w:lineRule="auto"/>
        <w:rPr>
          <w:sz w:val="20"/>
          <w:szCs w:val="20"/>
          <w:color w:val="auto"/>
        </w:rPr>
      </w:pPr>
      <w:r>
        <w:rPr>
          <w:rFonts w:ascii="Arial" w:cs="Arial" w:eastAsia="Arial" w:hAnsi="Arial"/>
          <w:sz w:val="16"/>
          <w:szCs w:val="16"/>
          <w:color w:val="auto"/>
        </w:rPr>
        <w:t>On August 28, 2017, we also entered into a syndicated Second Lien Credit and Guaranty Agreement (</w:t>
      </w:r>
      <w:r>
        <w:rPr>
          <w:rFonts w:ascii="Arial" w:cs="Arial" w:eastAsia="Arial" w:hAnsi="Arial"/>
          <w:sz w:val="16"/>
          <w:szCs w:val="16"/>
          <w:i w:val="1"/>
          <w:iCs w:val="1"/>
          <w:color w:val="auto"/>
        </w:rPr>
        <w:t>“Second Lien”</w:t>
      </w:r>
      <w:r>
        <w:rPr>
          <w:rFonts w:ascii="Arial" w:cs="Arial" w:eastAsia="Arial" w:hAnsi="Arial"/>
          <w:sz w:val="16"/>
          <w:szCs w:val="16"/>
          <w:color w:val="auto"/>
        </w:rPr>
        <w:t>) with various financial institutions. The Second Lien initially provided a $65 million term loan (</w:t>
      </w:r>
      <w:r>
        <w:rPr>
          <w:rFonts w:ascii="Arial" w:cs="Arial" w:eastAsia="Arial" w:hAnsi="Arial"/>
          <w:sz w:val="16"/>
          <w:szCs w:val="16"/>
          <w:i w:val="1"/>
          <w:iCs w:val="1"/>
          <w:color w:val="auto"/>
        </w:rPr>
        <w:t>“Second Lien Term Loan”</w:t>
      </w:r>
      <w:r>
        <w:rPr>
          <w:rFonts w:ascii="Arial" w:cs="Arial" w:eastAsia="Arial" w:hAnsi="Arial"/>
          <w:sz w:val="16"/>
          <w:szCs w:val="16"/>
          <w:color w:val="auto"/>
        </w:rPr>
        <w:t>), with a maturity date of August 28, 2025, for a business acquisition and for general corporate operations purposes. The Second Lien Term Loan initially carried interest at a base rate equal to that of the First Lien loan, plus a margin of 7.25% for base rate loans and 8.25% for Eurodollar loans. In October 2017, we entered into an amendment to the Second Lien and the principal amount of the Second Lien Term Loan was reduced to $50 million and the applicable interest rate margins for both the base rate loans and Eurodollar loans were increased by 0.25%. The amendment to the Second Lien was accounted for as a loan modification.</w:t>
      </w:r>
    </w:p>
    <w:p>
      <w:pPr>
        <w:spacing w:after="0" w:line="205" w:lineRule="exact"/>
        <w:rPr>
          <w:sz w:val="20"/>
          <w:szCs w:val="20"/>
          <w:color w:val="auto"/>
        </w:rPr>
      </w:pPr>
    </w:p>
    <w:p>
      <w:pPr>
        <w:jc w:val="both"/>
        <w:ind w:right="160" w:firstLine="510"/>
        <w:spacing w:after="0" w:line="311" w:lineRule="auto"/>
        <w:rPr>
          <w:sz w:val="20"/>
          <w:szCs w:val="20"/>
          <w:color w:val="auto"/>
        </w:rPr>
      </w:pPr>
      <w:r>
        <w:rPr>
          <w:rFonts w:ascii="Arial" w:cs="Arial" w:eastAsia="Arial" w:hAnsi="Arial"/>
          <w:sz w:val="16"/>
          <w:szCs w:val="16"/>
          <w:color w:val="auto"/>
        </w:rPr>
        <w:t>We had the ability to prepay the Second Lien Term Loan any time after the first and second anniversary without premium or penalty. In the second and third quarter of 2020, with excess cash on hand, we repaid an aggregate of $50 million of the outstanding principal balance of the Second Lien Term Loan and following these repayments, the Second Lien Term Loan was fully repaid and all obligations and covenants thereunder were terminated.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carrying value of the Second Lien Term Loan: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7720" w:type="dxa"/>
            <w:vAlign w:val="bottom"/>
          </w:tcPr>
          <w:p>
            <w:pPr>
              <w:spacing w:after="0"/>
              <w:rPr>
                <w:sz w:val="14"/>
                <w:szCs w:val="14"/>
                <w:color w:val="auto"/>
              </w:rPr>
            </w:pP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156"/>
        </w:trPr>
        <w:tc>
          <w:tcPr>
            <w:tcW w:w="7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4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Principal amount outstanding</w:t>
            </w:r>
          </w:p>
        </w:tc>
        <w:tc>
          <w:tcPr>
            <w:tcW w:w="1240" w:type="dxa"/>
            <w:vAlign w:val="bottom"/>
            <w:shd w:val="clear" w:color="auto" w:fill="CFF0FC"/>
          </w:tcPr>
          <w:p>
            <w:pPr>
              <w:jc w:val="right"/>
              <w:ind w:right="1059"/>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Less: Debt discount, net of amortization</w:t>
            </w:r>
          </w:p>
        </w:tc>
        <w:tc>
          <w:tcPr>
            <w:tcW w:w="1240" w:type="dxa"/>
            <w:vAlign w:val="bottom"/>
          </w:tcPr>
          <w:p>
            <w:pPr>
              <w:spacing w:after="0"/>
              <w:rPr>
                <w:sz w:val="19"/>
                <w:szCs w:val="19"/>
                <w:color w:val="auto"/>
              </w:rPr>
            </w:pPr>
          </w:p>
        </w:tc>
        <w:tc>
          <w:tcPr>
            <w:tcW w:w="6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(471)</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Less: Debt issuance costs, net of amortization</w:t>
            </w:r>
          </w:p>
        </w:tc>
        <w:tc>
          <w:tcPr>
            <w:tcW w:w="12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(1,374)</w:t>
            </w: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Carrying amount</w:t>
            </w:r>
          </w:p>
        </w:tc>
        <w:tc>
          <w:tcPr>
            <w:tcW w:w="1240" w:type="dxa"/>
            <w:vAlign w:val="bottom"/>
            <w:tcBorders>
              <w:top w:val="single" w:sz="8" w:color="auto"/>
              <w:bottom w:val="single" w:sz="8" w:color="auto"/>
            </w:tcBorders>
          </w:tcPr>
          <w:p>
            <w:pPr>
              <w:jc w:val="right"/>
              <w:ind w:right="1059"/>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48,155</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interest expense recognized for the First Lien and Second Lien: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080" w:type="dxa"/>
            <w:vAlign w:val="bottom"/>
            <w:gridSpan w:val="4"/>
          </w:tcPr>
          <w:p>
            <w:pPr>
              <w:jc w:val="right"/>
              <w:ind w:right="107"/>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60" w:type="dxa"/>
            <w:vAlign w:val="bottom"/>
            <w:gridSpan w:val="6"/>
          </w:tcPr>
          <w:p>
            <w:pPr>
              <w:ind w:left="26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8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327"/>
              <w:spacing w:after="0"/>
              <w:rPr>
                <w:sz w:val="20"/>
                <w:szCs w:val="20"/>
                <w:color w:val="auto"/>
              </w:rPr>
            </w:pPr>
            <w:r>
              <w:rPr>
                <w:rFonts w:ascii="Arial" w:cs="Arial" w:eastAsia="Arial" w:hAnsi="Arial"/>
                <w:sz w:val="14"/>
                <w:szCs w:val="14"/>
                <w:b w:val="1"/>
                <w:bCs w:val="1"/>
                <w:color w:val="auto"/>
                <w:w w:val="98"/>
              </w:rPr>
              <w:t>September 30,</w:t>
            </w:r>
          </w:p>
        </w:tc>
        <w:tc>
          <w:tcPr>
            <w:tcW w:w="4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84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w w:val="96"/>
              </w:rPr>
              <w:t>2020</w:t>
            </w: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r>
      <w:tr>
        <w:trPr>
          <w:trHeight w:val="155"/>
        </w:trPr>
        <w:tc>
          <w:tcPr>
            <w:tcW w:w="5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5"/>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Contractual interest expense for First Lien and Second Lien</w:t>
            </w:r>
          </w:p>
        </w:tc>
        <w:tc>
          <w:tcPr>
            <w:tcW w:w="7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Term Loan</w:t>
            </w:r>
          </w:p>
        </w:tc>
        <w:tc>
          <w:tcPr>
            <w:tcW w:w="720" w:type="dxa"/>
            <w:vAlign w:val="bottom"/>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6,408</w:t>
            </w: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7,582</w:t>
            </w: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22,914</w:t>
            </w:r>
          </w:p>
        </w:tc>
        <w:tc>
          <w:tcPr>
            <w:tcW w:w="24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22,662</w:t>
            </w:r>
          </w:p>
        </w:tc>
        <w:tc>
          <w:tcPr>
            <w:tcW w:w="100" w:type="dxa"/>
            <w:vAlign w:val="bottom"/>
            <w:shd w:val="clear" w:color="auto" w:fill="CFF0FC"/>
          </w:tcPr>
          <w:p>
            <w:pPr>
              <w:spacing w:after="0"/>
              <w:rPr>
                <w:sz w:val="20"/>
                <w:szCs w:val="20"/>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Contractual interest expense for Revolver</w:t>
            </w:r>
          </w:p>
        </w:tc>
        <w:tc>
          <w:tcPr>
            <w:tcW w:w="720" w:type="dxa"/>
            <w:vAlign w:val="bottom"/>
          </w:tcPr>
          <w:p>
            <w:pPr>
              <w:spacing w:after="0"/>
              <w:rPr>
                <w:sz w:val="19"/>
                <w:szCs w:val="19"/>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789</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2,099</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debt discount</w:t>
            </w: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Amortization of debt issuance costs</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489</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514</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1,401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1,583</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Loss on debt extinguishment</w:t>
            </w: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2,864</w:t>
            </w: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840" w:type="dxa"/>
            <w:vAlign w:val="bottom"/>
          </w:tcPr>
          <w:p>
            <w:pPr>
              <w:ind w:left="260"/>
              <w:spacing w:after="0"/>
              <w:rPr>
                <w:sz w:val="20"/>
                <w:szCs w:val="20"/>
                <w:color w:val="auto"/>
              </w:rPr>
            </w:pPr>
            <w:r>
              <w:rPr>
                <w:rFonts w:ascii="Arial" w:cs="Arial" w:eastAsia="Arial" w:hAnsi="Arial"/>
                <w:sz w:val="18"/>
                <w:szCs w:val="18"/>
                <w:color w:val="auto"/>
              </w:rPr>
              <w:t>Total interest expense recognized</w:t>
            </w:r>
          </w:p>
        </w:tc>
        <w:tc>
          <w:tcPr>
            <w:tcW w:w="7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9,980</w:t>
            </w:r>
          </w:p>
        </w:tc>
        <w:tc>
          <w:tcPr>
            <w:tcW w:w="2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4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9,101</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28,259</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27,044</w:t>
            </w:r>
          </w:p>
        </w:tc>
        <w:tc>
          <w:tcPr>
            <w:tcW w:w="10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estimated future principal payments under our total long-term debt as of September 30, 2020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0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Amounts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3"/>
          </w:tcPr>
          <w:p>
            <w:pPr>
              <w:jc w:val="right"/>
              <w:ind w:right="411"/>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2020 (remaining three months)</w:t>
            </w: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2021</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2023</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376,938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Thereafter</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debt</w:t>
            </w:r>
          </w:p>
        </w:tc>
        <w:tc>
          <w:tcPr>
            <w:tcW w:w="4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376,938</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Less: Discount and debt issuance costs</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(6,848)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Debt, net of discount and debt issuance costs</w:t>
            </w:r>
          </w:p>
        </w:tc>
        <w:tc>
          <w:tcPr>
            <w:tcW w:w="4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370,090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color w:val="auto"/>
                <w:w w:val="90"/>
              </w:rPr>
              <w:t>Presented on the condensed combined consolidated balance sheet under:</w:t>
            </w: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debt, net</w:t>
            </w: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Debt, net</w:t>
            </w:r>
          </w:p>
        </w:tc>
        <w:tc>
          <w:tcPr>
            <w:tcW w:w="4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8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370,090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b w:val="1"/>
                <w:bCs w:val="1"/>
                <w:color w:val="auto"/>
              </w:rPr>
              <w:t>9. Commitments and Contingencies</w:t>
            </w: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38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380" w:type="dxa"/>
            <w:vAlign w:val="bottom"/>
          </w:tcPr>
          <w:p>
            <w:pPr>
              <w:spacing w:after="0"/>
              <w:rPr>
                <w:sz w:val="20"/>
                <w:szCs w:val="20"/>
                <w:color w:val="auto"/>
              </w:rPr>
            </w:pPr>
            <w:r>
              <w:rPr>
                <w:rFonts w:ascii="Arial" w:cs="Arial" w:eastAsia="Arial" w:hAnsi="Arial"/>
                <w:sz w:val="18"/>
                <w:szCs w:val="18"/>
                <w:b w:val="1"/>
                <w:bCs w:val="1"/>
                <w:i w:val="1"/>
                <w:iCs w:val="1"/>
                <w:color w:val="auto"/>
              </w:rPr>
              <w:t>Product Warranties</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380" w:type="dxa"/>
            <w:vAlign w:val="bottom"/>
          </w:tcPr>
          <w:p>
            <w:pPr>
              <w:ind w:left="520"/>
              <w:spacing w:after="0"/>
              <w:rPr>
                <w:sz w:val="20"/>
                <w:szCs w:val="20"/>
                <w:color w:val="auto"/>
              </w:rPr>
            </w:pPr>
            <w:r>
              <w:rPr>
                <w:rFonts w:ascii="Arial" w:cs="Arial" w:eastAsia="Arial" w:hAnsi="Arial"/>
                <w:sz w:val="18"/>
                <w:szCs w:val="18"/>
                <w:color w:val="auto"/>
              </w:rPr>
              <w:t>Changes in our warranty obligations were as follows:</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5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0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24"/>
                <w:szCs w:val="24"/>
                <w:color w:val="auto"/>
              </w:rPr>
            </w:pPr>
          </w:p>
        </w:tc>
        <w:tc>
          <w:tcPr>
            <w:tcW w:w="22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w w:val="96"/>
              </w:rPr>
              <w:t>September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35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Beginning of the period</w:t>
            </w:r>
          </w:p>
        </w:tc>
        <w:tc>
          <w:tcPr>
            <w:tcW w:w="7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5,005</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2,776</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3,991</w:t>
            </w:r>
          </w:p>
        </w:tc>
        <w:tc>
          <w:tcPr>
            <w:tcW w:w="62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260"/>
              <w:spacing w:after="0"/>
              <w:rPr>
                <w:sz w:val="20"/>
                <w:szCs w:val="20"/>
                <w:color w:val="auto"/>
              </w:rPr>
            </w:pPr>
            <w:r>
              <w:rPr>
                <w:rFonts w:ascii="Arial" w:cs="Arial" w:eastAsia="Arial" w:hAnsi="Arial"/>
                <w:sz w:val="18"/>
                <w:szCs w:val="18"/>
                <w:color w:val="auto"/>
              </w:rPr>
              <w:t>Balance assumed from business combinations</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223</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Warranty provision related to products shipped</w:t>
            </w: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1,518</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1,395</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4,928</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60"/>
              <w:spacing w:after="0"/>
              <w:rPr>
                <w:sz w:val="20"/>
                <w:szCs w:val="20"/>
                <w:color w:val="auto"/>
              </w:rPr>
            </w:pPr>
            <w:r>
              <w:rPr>
                <w:rFonts w:ascii="Arial" w:cs="Arial" w:eastAsia="Arial" w:hAnsi="Arial"/>
                <w:sz w:val="18"/>
                <w:szCs w:val="18"/>
                <w:color w:val="auto"/>
              </w:rPr>
              <w:t>Deductions for warranty claims processed</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(1,400)</w:t>
            </w:r>
          </w:p>
        </w:tc>
        <w:tc>
          <w:tcPr>
            <w:tcW w:w="3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(1,338)</w:t>
            </w:r>
          </w:p>
        </w:tc>
        <w:tc>
          <w:tcPr>
            <w:tcW w:w="360" w:type="dxa"/>
            <w:vAlign w:val="bottom"/>
          </w:tcPr>
          <w:p>
            <w:pPr>
              <w:spacing w:after="0"/>
              <w:rPr>
                <w:sz w:val="19"/>
                <w:szCs w:val="19"/>
                <w:color w:val="auto"/>
              </w:rPr>
            </w:pPr>
          </w:p>
        </w:tc>
        <w:tc>
          <w:tcPr>
            <w:tcW w:w="1020" w:type="dxa"/>
            <w:vAlign w:val="bottom"/>
            <w:gridSpan w:val="3"/>
          </w:tcPr>
          <w:p>
            <w:pPr>
              <w:ind w:left="300"/>
              <w:spacing w:after="0"/>
              <w:rPr>
                <w:sz w:val="20"/>
                <w:szCs w:val="20"/>
                <w:color w:val="auto"/>
              </w:rPr>
            </w:pPr>
            <w:r>
              <w:rPr>
                <w:rFonts w:ascii="Arial" w:cs="Arial" w:eastAsia="Arial" w:hAnsi="Arial"/>
                <w:sz w:val="18"/>
                <w:szCs w:val="18"/>
                <w:color w:val="auto"/>
              </w:rPr>
              <w:t>(3,796)</w:t>
            </w:r>
          </w:p>
        </w:tc>
        <w:tc>
          <w:tcPr>
            <w:tcW w:w="3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(3,979)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 of period</w:t>
            </w:r>
          </w:p>
        </w:tc>
        <w:tc>
          <w:tcPr>
            <w:tcW w:w="4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5,123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460" w:type="dxa"/>
            <w:vAlign w:val="bottom"/>
            <w:vMerge w:val="restart"/>
          </w:tcPr>
          <w:p>
            <w:pPr>
              <w:jc w:val="right"/>
              <w:ind w:right="30"/>
              <w:spacing w:after="0"/>
              <w:rPr>
                <w:sz w:val="20"/>
                <w:szCs w:val="20"/>
                <w:color w:val="auto"/>
              </w:rPr>
            </w:pPr>
            <w:r>
              <w:rPr>
                <w:rFonts w:ascii="Arial" w:cs="Arial" w:eastAsia="Arial" w:hAnsi="Arial"/>
                <w:sz w:val="18"/>
                <w:szCs w:val="18"/>
                <w:color w:val="auto"/>
              </w:rPr>
              <w:t>20</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380" w:type="dxa"/>
            <w:vAlign w:val="bottom"/>
          </w:tcPr>
          <w:p>
            <w:pPr>
              <w:spacing w:after="0"/>
              <w:rPr>
                <w:sz w:val="24"/>
                <w:szCs w:val="24"/>
                <w:color w:val="auto"/>
              </w:rPr>
            </w:pPr>
          </w:p>
        </w:tc>
        <w:tc>
          <w:tcPr>
            <w:tcW w:w="4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Unconditional Purchase Obligations</w:t>
      </w:r>
    </w:p>
    <w:p>
      <w:pPr>
        <w:spacing w:after="0" w:line="117"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Our total non-cancelable purchase commitments outstanding was $103.1 million and $44.1 million as of September 30, 2020 and December 31, 2019, respectively.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17"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letters of credit outstanding, in aggregate, was $2.0 million and $1.5 million as of September 30, 2020 and December 31, 2019, respectively. No amounts have been drawn upon the letters of credit for all periods presented.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In the ordinary course of business, we may provide indemnifications of varying scope and terms with respect to certain transactions. We have entered into indemnification agreements with directors and certain officers and employees that will require Corsair, among other things, to indemnify them against certain liabilities that may arise by reason of their status or service as directors, officers or employees. No demands have been made upon Corsair to provide indemnification under such agreements, and thus, there are no claims that we are aware of that could have a material effect on our condensed combined consolidated balance sheets, statements of operations, or statements of cash flows. We currently have directors’ and officers’ insurance.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121" w:lineRule="exact"/>
        <w:rPr>
          <w:sz w:val="20"/>
          <w:szCs w:val="20"/>
          <w:color w:val="auto"/>
        </w:rPr>
      </w:pPr>
    </w:p>
    <w:p>
      <w:pPr>
        <w:jc w:val="both"/>
        <w:ind w:right="40" w:firstLine="510"/>
        <w:spacing w:after="0" w:line="263" w:lineRule="auto"/>
        <w:rPr>
          <w:sz w:val="20"/>
          <w:szCs w:val="20"/>
          <w:color w:val="auto"/>
        </w:rPr>
      </w:pPr>
      <w:r>
        <w:rPr>
          <w:rFonts w:ascii="Arial" w:cs="Arial" w:eastAsia="Arial" w:hAnsi="Arial"/>
          <w:sz w:val="18"/>
          <w:szCs w:val="18"/>
          <w:color w:val="auto"/>
        </w:rPr>
        <w:t>On December 19, 2019, the Parent issued 14,092,098 units, which following the Reorganization and prior to the exchange agreements described in Note 1, represents 7,046,049 equivalent shares of our common stock, as a result of a capital call, for a total capital contribution of $53.5 million to fund the SCUF Acquisition.</w:t>
      </w:r>
    </w:p>
    <w:p>
      <w:pPr>
        <w:spacing w:after="0" w:line="211"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auto"/>
        </w:rPr>
        <w:t>For the year ended 2019, the Parent issued an aggregate of 2,644,151 units, which following the Reorganization and prior to the exchange agreements described in Note 1, represents 1,322,075 equivalent shares of our common stock, as part of the consideration for acquisitions. The units had an estimated fair value of $10.0 million, in aggregate, at the time of issuance. Refer to Note 5 for additional information regarding our acquisitions.</w:t>
      </w:r>
    </w:p>
    <w:p>
      <w:pPr>
        <w:spacing w:after="0" w:line="149"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On September 15, 2020, we completed a Reorganization through a series of steps as discussed in Note 1. In connection with the Reorganization, we filed a certificate of amendment to our Amended and Restated Certificate of Incorporation which authorized 100,000,000 shares of our common stock for issuance, with a par value of $0.0001 per share and effected a 1-for-28,693.596843964 stock split resulting in there being 84,405,366 shares of Corsair’s common stock outstanding as of September 15, 2020.</w:t>
      </w:r>
    </w:p>
    <w:p>
      <w:pPr>
        <w:spacing w:after="0" w:line="187"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On September 25, 2020, in connection with the closing of the IPO, we filed an Amended and Restated Certificate of Incorporation which increased the authorized shares of common stock for issuance to 300,000,000 and authorized 5,000,000 shares of preferred stock, with a par value of $0.0001 per share, for issuance. There were no shares of preferred stock outstanding as of September 30,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Equity Incentive Plans and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In 2017, the Parent adopted the 2017 Equity Incentive Program (</w:t>
      </w:r>
      <w:r>
        <w:rPr>
          <w:rFonts w:ascii="Arial" w:cs="Arial" w:eastAsia="Arial" w:hAnsi="Arial"/>
          <w:sz w:val="17"/>
          <w:szCs w:val="17"/>
          <w:i w:val="1"/>
          <w:iCs w:val="1"/>
          <w:color w:val="auto"/>
        </w:rPr>
        <w:t>the “2017 Plan”</w:t>
      </w:r>
      <w:r>
        <w:rPr>
          <w:rFonts w:ascii="Arial" w:cs="Arial" w:eastAsia="Arial" w:hAnsi="Arial"/>
          <w:sz w:val="17"/>
          <w:szCs w:val="17"/>
          <w:color w:val="auto"/>
        </w:rPr>
        <w:t>). The 2017 Plan was administered by the General Partner, EagleTree-Carbide (GP), LLC, who determines the types of awards to be granted, the number of units subject to the awards, the exercise price and the vesting requirements. Only our employees and directors participated in this program. In connection with the Reorganization discussed in Note 1, we assumed the 2017 Plan and all the outstanding options to acquire units of the Parent under the 2017 Plan were converted into options to purchase our common stock on a pro rata basis with an adjusted exercise price to reflect the assumption. No other modifications were made to the options and no further options will be granted under the 2017 Plan following the Reorganization.</w:t>
      </w:r>
    </w:p>
    <w:p>
      <w:pPr>
        <w:spacing w:after="0" w:line="178"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In September 2020, we adopted the 2020 Incentive Award Plan (</w:t>
      </w:r>
      <w:r>
        <w:rPr>
          <w:rFonts w:ascii="Arial" w:cs="Arial" w:eastAsia="Arial" w:hAnsi="Arial"/>
          <w:sz w:val="18"/>
          <w:szCs w:val="18"/>
          <w:i w:val="1"/>
          <w:iCs w:val="1"/>
          <w:color w:val="auto"/>
        </w:rPr>
        <w:t>the “2020 Plan”</w:t>
      </w:r>
      <w:r>
        <w:rPr>
          <w:rFonts w:ascii="Arial" w:cs="Arial" w:eastAsia="Arial" w:hAnsi="Arial"/>
          <w:sz w:val="18"/>
          <w:szCs w:val="18"/>
          <w:color w:val="auto"/>
        </w:rPr>
        <w:t>), which became effective on September 22, 2020, the day prior to the first public trading date of our common stock. The 2020 Plan is the successor and continuation to the 2017 Plan. The 2020 Plan provides for the grant of stock options, stock appreciation rights, restricted stock awards, restricted stock unit (</w:t>
      </w:r>
      <w:r>
        <w:rPr>
          <w:rFonts w:ascii="Arial" w:cs="Arial" w:eastAsia="Arial" w:hAnsi="Arial"/>
          <w:sz w:val="18"/>
          <w:szCs w:val="18"/>
          <w:i w:val="1"/>
          <w:iCs w:val="1"/>
          <w:color w:val="auto"/>
        </w:rPr>
        <w:t>“RSU”</w:t>
      </w:r>
      <w:r>
        <w:rPr>
          <w:rFonts w:ascii="Arial" w:cs="Arial" w:eastAsia="Arial" w:hAnsi="Arial"/>
          <w:sz w:val="18"/>
          <w:szCs w:val="18"/>
          <w:color w:val="auto"/>
        </w:rPr>
        <w:t>) awards, performance awards and other forms of awards. Incentive stock options may be granted only to employees. All other awards may be granted to eligible employees, non-employee directors and consultants, at the discretion of our board of directors (</w:t>
      </w:r>
      <w:r>
        <w:rPr>
          <w:rFonts w:ascii="Arial" w:cs="Arial" w:eastAsia="Arial" w:hAnsi="Arial"/>
          <w:sz w:val="18"/>
          <w:szCs w:val="18"/>
          <w:i w:val="1"/>
          <w:iCs w:val="1"/>
          <w:color w:val="auto"/>
        </w:rPr>
        <w:t>the “Board”</w:t>
      </w:r>
      <w:r>
        <w:rPr>
          <w:rFonts w:ascii="Arial" w:cs="Arial" w:eastAsia="Arial" w:hAnsi="Arial"/>
          <w:sz w:val="18"/>
          <w:szCs w:val="18"/>
          <w:color w:val="auto"/>
        </w:rPr>
        <w:t>). Under the 2020 Plan, 5,125,000 shares of our common stock are initially reserved for issuance. The 2020 Plan reserve also includes any shares under the 2017 Plan and the 2020 Plan that may become available for issuance if the award terminates without the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delivery of shares or if shares are tendered to satisfy the exercise price or tax withholding obligation with respect of the award. The 2020 Plan reserve increases annually on January 1 of each calendar year, starting on January 1, 2021 through January 1, 2030, by an amount equal to the lesser of (a) 4% of the shares outstanding on the last day of the immediately preceding fiscal year or (b) a smaller number of shares as determined by the Board; provided, however, no more than 75,000,000 shares of our common stock may be issued upon the exercise of incentive stock options.</w:t>
      </w:r>
    </w:p>
    <w:p>
      <w:pPr>
        <w:spacing w:after="0" w:line="157" w:lineRule="exact"/>
        <w:rPr>
          <w:sz w:val="20"/>
          <w:szCs w:val="20"/>
          <w:color w:val="auto"/>
        </w:rPr>
      </w:pPr>
    </w:p>
    <w:p>
      <w:pPr>
        <w:ind w:right="180" w:firstLine="510"/>
        <w:spacing w:after="0" w:line="286" w:lineRule="auto"/>
        <w:rPr>
          <w:sz w:val="20"/>
          <w:szCs w:val="20"/>
          <w:color w:val="auto"/>
        </w:rPr>
      </w:pPr>
      <w:r>
        <w:rPr>
          <w:rFonts w:ascii="Arial" w:cs="Arial" w:eastAsia="Arial" w:hAnsi="Arial"/>
          <w:sz w:val="17"/>
          <w:szCs w:val="17"/>
          <w:color w:val="auto"/>
        </w:rPr>
        <w:t>All stock options under the 2017 Plan and the 2020 Plan are issued at exercise prices not less than the fair market value on the date of grant. RSUs have no exercise price. Both stock options and RSUs vest over a period of time as determined by the Board, generally four to five years, and expire ten years from date of grant. As of September 30, 2020, 4,941,580 shares were available for grant under the 2020 Plan.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In September 2020, we adopted the 2020 Employee Stock Purchase Plan (</w:t>
      </w:r>
      <w:r>
        <w:rPr>
          <w:rFonts w:ascii="Arial" w:cs="Arial" w:eastAsia="Arial" w:hAnsi="Arial"/>
          <w:sz w:val="18"/>
          <w:szCs w:val="18"/>
          <w:i w:val="1"/>
          <w:iCs w:val="1"/>
          <w:color w:val="auto"/>
        </w:rPr>
        <w:t>the “ESPP”</w:t>
      </w:r>
      <w:r>
        <w:rPr>
          <w:rFonts w:ascii="Arial" w:cs="Arial" w:eastAsia="Arial" w:hAnsi="Arial"/>
          <w:sz w:val="18"/>
          <w:szCs w:val="18"/>
          <w:color w:val="auto"/>
        </w:rPr>
        <w:t>), which became effective September 22, 2020, the day prior to the first public trading date of our common stock. The ESPP is intended to qualify under Section 423 of the U.S. Internal Revenue Service Code. The ESPP initially reserved 1,025,000 shares of our common stock for issuance. The ESPP reserve increases annually on January 1 of each calendar year, starting on January 1, 2021 through January 1, 2030, by an amount equal to the lesser of (a) 1% of the shares outstanding on the last day of the immediately preceding fiscal year or (b) a smaller number of shares as determined by the Board; provided, however, no more than 20,000,000 shares of our common stock may be issued under the ESPP.</w:t>
      </w:r>
    </w:p>
    <w:p>
      <w:pPr>
        <w:spacing w:after="0" w:line="192" w:lineRule="exact"/>
        <w:rPr>
          <w:sz w:val="20"/>
          <w:szCs w:val="20"/>
          <w:color w:val="auto"/>
        </w:rPr>
      </w:pPr>
    </w:p>
    <w:p>
      <w:pPr>
        <w:jc w:val="both"/>
        <w:ind w:right="60" w:firstLine="510"/>
        <w:spacing w:after="0" w:line="287" w:lineRule="auto"/>
        <w:rPr>
          <w:sz w:val="20"/>
          <w:szCs w:val="20"/>
          <w:color w:val="auto"/>
        </w:rPr>
      </w:pPr>
      <w:r>
        <w:rPr>
          <w:rFonts w:ascii="Arial" w:cs="Arial" w:eastAsia="Arial" w:hAnsi="Arial"/>
          <w:sz w:val="16"/>
          <w:szCs w:val="16"/>
          <w:color w:val="auto"/>
        </w:rPr>
        <w:t>The ESPP is designed to allow eligible employees to purchase shares of our common stock, at semi-annual intervals, with their accumulated payroll deductions. Under the ESPP, participants are offered the option to purchase shares of our common stock at a discount during a series of successive offering periods, the duration and timing of which will be determined by the ESPP administrator. The offering period may not be longer than 27 months in length.</w:t>
      </w:r>
    </w:p>
    <w:p>
      <w:pPr>
        <w:spacing w:after="0" w:line="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option purchase price will be the lower of 85% of the closing trading price per share of our common stock on the first trading date of an offering period in which a participant is enrolled or 85% of the closing trading price per share on the purchase date, which will occur on the last trading day of each offering period. Employees may participate through payroll deductions of 1% to 15% of their earnings. No participant may purchase more than 30,000 shares in each offering period and may not subscribe for more than $25,000 in fair market value of shares of our common stock (determined at the time the option is granted) during any calendar year. The first offering period will begin on January 1, 2021.</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stock option activities and related information for the nine months ended September 30, 2020:</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vMerge w:val="restart"/>
          </w:tcPr>
          <w:p>
            <w:pPr>
              <w:jc w:val="center"/>
              <w:ind w:left="300"/>
              <w:spacing w:after="0"/>
              <w:rPr>
                <w:sz w:val="20"/>
                <w:szCs w:val="20"/>
                <w:color w:val="auto"/>
              </w:rPr>
            </w:pPr>
            <w:r>
              <w:rPr>
                <w:rFonts w:ascii="Arial" w:cs="Arial" w:eastAsia="Arial" w:hAnsi="Arial"/>
                <w:sz w:val="14"/>
                <w:szCs w:val="14"/>
                <w:b w:val="1"/>
                <w:bCs w:val="1"/>
                <w:color w:val="auto"/>
                <w:w w:val="94"/>
              </w:rPr>
              <w:t>Weighted-</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center"/>
              <w:ind w:left="228"/>
              <w:spacing w:after="0"/>
              <w:rPr>
                <w:sz w:val="20"/>
                <w:szCs w:val="20"/>
                <w:color w:val="auto"/>
              </w:rPr>
            </w:pPr>
            <w:r>
              <w:rPr>
                <w:rFonts w:ascii="Arial" w:cs="Arial" w:eastAsia="Arial" w:hAnsi="Arial"/>
                <w:sz w:val="14"/>
                <w:szCs w:val="14"/>
                <w:b w:val="1"/>
                <w:bCs w:val="1"/>
                <w:color w:val="auto"/>
                <w:w w:val="91"/>
              </w:rPr>
              <w:t>Weighted-</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7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Outstanding</w:t>
            </w:r>
          </w:p>
        </w:tc>
        <w:tc>
          <w:tcPr>
            <w:tcW w:w="1140" w:type="dxa"/>
            <w:vAlign w:val="bottom"/>
          </w:tcPr>
          <w:p>
            <w:pPr>
              <w:jc w:val="center"/>
              <w:ind w:left="280"/>
              <w:spacing w:after="0" w:line="149" w:lineRule="exact"/>
              <w:rPr>
                <w:sz w:val="20"/>
                <w:szCs w:val="20"/>
                <w:color w:val="auto"/>
              </w:rPr>
            </w:pPr>
            <w:r>
              <w:rPr>
                <w:rFonts w:ascii="Arial" w:cs="Arial" w:eastAsia="Arial" w:hAnsi="Arial"/>
                <w:sz w:val="14"/>
                <w:szCs w:val="14"/>
                <w:b w:val="1"/>
                <w:bCs w:val="1"/>
                <w:color w:val="auto"/>
                <w:w w:val="90"/>
              </w:rPr>
              <w:t>Average</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4"/>
              </w:rPr>
              <w:t>Remaining</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140" w:type="dxa"/>
            <w:vAlign w:val="bottom"/>
          </w:tcPr>
          <w:p>
            <w:pPr>
              <w:jc w:val="center"/>
              <w:ind w:left="300"/>
              <w:spacing w:after="0" w:line="149" w:lineRule="exact"/>
              <w:rPr>
                <w:sz w:val="20"/>
                <w:szCs w:val="20"/>
                <w:color w:val="auto"/>
              </w:rPr>
            </w:pPr>
            <w:r>
              <w:rPr>
                <w:rFonts w:ascii="Arial" w:cs="Arial" w:eastAsia="Arial" w:hAnsi="Arial"/>
                <w:sz w:val="14"/>
                <w:szCs w:val="14"/>
                <w:b w:val="1"/>
                <w:bCs w:val="1"/>
                <w:color w:val="auto"/>
                <w:w w:val="90"/>
              </w:rPr>
              <w:t>Exercise</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17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Stock Options</w:t>
            </w:r>
          </w:p>
        </w:tc>
        <w:tc>
          <w:tcPr>
            <w:tcW w:w="17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Price Per Share</w:t>
            </w:r>
          </w:p>
        </w:tc>
        <w:tc>
          <w:tcPr>
            <w:tcW w:w="1200" w:type="dxa"/>
            <w:vAlign w:val="bottom"/>
          </w:tcPr>
          <w:p>
            <w:pPr>
              <w:jc w:val="center"/>
              <w:ind w:left="228"/>
              <w:spacing w:after="0"/>
              <w:rPr>
                <w:sz w:val="20"/>
                <w:szCs w:val="20"/>
                <w:color w:val="auto"/>
              </w:rPr>
            </w:pPr>
            <w:r>
              <w:rPr>
                <w:rFonts w:ascii="Arial" w:cs="Arial" w:eastAsia="Arial" w:hAnsi="Arial"/>
                <w:sz w:val="14"/>
                <w:szCs w:val="14"/>
                <w:b w:val="1"/>
                <w:bCs w:val="1"/>
                <w:color w:val="auto"/>
                <w:w w:val="99"/>
              </w:rPr>
              <w:t>Term</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55"/>
        </w:trPr>
        <w:tc>
          <w:tcPr>
            <w:tcW w:w="4360" w:type="dxa"/>
            <w:vAlign w:val="bottom"/>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Borders>
              <w:top w:val="single" w:sz="8" w:color="auto"/>
            </w:tcBorders>
          </w:tcPr>
          <w:p>
            <w:pPr>
              <w:jc w:val="center"/>
              <w:ind w:left="248"/>
              <w:spacing w:after="0" w:line="155" w:lineRule="exact"/>
              <w:rPr>
                <w:sz w:val="20"/>
                <w:szCs w:val="20"/>
                <w:color w:val="auto"/>
              </w:rPr>
            </w:pPr>
            <w:r>
              <w:rPr>
                <w:rFonts w:ascii="Arial" w:cs="Arial" w:eastAsia="Arial" w:hAnsi="Arial"/>
                <w:sz w:val="14"/>
                <w:szCs w:val="14"/>
                <w:b w:val="1"/>
                <w:bCs w:val="1"/>
                <w:color w:val="auto"/>
                <w:w w:val="96"/>
              </w:rPr>
              <w:t>(In years)</w:t>
            </w:r>
          </w:p>
        </w:tc>
        <w:tc>
          <w:tcPr>
            <w:tcW w:w="3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ind w:right="139"/>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2019</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8,790,000</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96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4.86</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6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1,875,161</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6"/>
              </w:rPr>
              <w:t>8.59</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(306,000)</w:t>
            </w:r>
          </w:p>
        </w:tc>
        <w:tc>
          <w:tcPr>
            <w:tcW w:w="114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4.05</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260"/>
              <w:spacing w:after="0"/>
              <w:rPr>
                <w:sz w:val="20"/>
                <w:szCs w:val="20"/>
                <w:color w:val="auto"/>
              </w:rPr>
            </w:pPr>
            <w:r>
              <w:rPr>
                <w:rFonts w:ascii="Arial" w:cs="Arial" w:eastAsia="Arial" w:hAnsi="Arial"/>
                <w:sz w:val="18"/>
                <w:szCs w:val="18"/>
                <w:color w:val="auto"/>
              </w:rPr>
              <w:t>Forfeited/cancelled</w:t>
            </w: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(164,000)</w:t>
            </w:r>
          </w:p>
        </w:tc>
        <w:tc>
          <w:tcPr>
            <w:tcW w:w="1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6"/>
              </w:rPr>
              <w:t>6.30</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September 30, 2020</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10,195,161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CFF0FC"/>
              <w:bottom w:val="single" w:sz="8" w:color="CFF0FC"/>
            </w:tcBorders>
            <w:shd w:val="clear" w:color="auto" w:fill="CFF0FC"/>
          </w:tcPr>
          <w:p>
            <w:pPr>
              <w:jc w:val="right"/>
              <w:ind w:right="96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6"/>
              </w:rPr>
              <w:t>5.55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67,698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Vested and exercisable as of September 30, 2020</w:t>
            </w: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vMerge w:val="restart"/>
          </w:tcPr>
          <w:p>
            <w:pPr>
              <w:jc w:val="right"/>
              <w:ind w:right="960"/>
              <w:spacing w:after="0"/>
              <w:rPr>
                <w:sz w:val="20"/>
                <w:szCs w:val="20"/>
                <w:color w:val="auto"/>
              </w:rPr>
            </w:pPr>
            <w:r>
              <w:rPr>
                <w:rFonts w:ascii="Arial" w:cs="Arial" w:eastAsia="Arial" w:hAnsi="Arial"/>
                <w:sz w:val="18"/>
                <w:szCs w:val="18"/>
                <w:color w:val="auto"/>
                <w:w w:val="79"/>
              </w:rPr>
              <w:t>$</w:t>
            </w: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w w:val="96"/>
              </w:rPr>
              <w:t>4.31</w:t>
            </w: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line="20" w:lineRule="exact"/>
              <w:rPr>
                <w:sz w:val="1"/>
                <w:szCs w:val="1"/>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31,534</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vMerge w:val="continue"/>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4,045,117</w:t>
            </w:r>
          </w:p>
        </w:tc>
        <w:tc>
          <w:tcPr>
            <w:tcW w:w="2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The weighted average grant-date fair value of the stock options granted for the nine months ended September 30, 2020 was $8.59 per share. As of September 30, 2020, the unrecognized stock-based compensation costs related to outstanding unvested stock options was $15.4 million, which is expected to be recognized over a weighted average period of 3.3 years.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RSUs activities and related information for the nine months ended September 30, 2020:</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7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7780" w:type="dxa"/>
            <w:vAlign w:val="bottom"/>
          </w:tcPr>
          <w:p>
            <w:pPr>
              <w:spacing w:after="0"/>
              <w:rPr>
                <w:sz w:val="12"/>
                <w:szCs w:val="12"/>
                <w:color w:val="auto"/>
              </w:rPr>
            </w:pPr>
          </w:p>
        </w:tc>
        <w:tc>
          <w:tcPr>
            <w:tcW w:w="17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Unvested RSUs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71"/>
        </w:trPr>
        <w:tc>
          <w:tcPr>
            <w:tcW w:w="778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Value Per Share</w:t>
            </w:r>
          </w:p>
        </w:tc>
        <w:tc>
          <w:tcPr>
            <w:tcW w:w="0" w:type="dxa"/>
            <w:vAlign w:val="bottom"/>
          </w:tcPr>
          <w:p>
            <w:pPr>
              <w:spacing w:after="0"/>
              <w:rPr>
                <w:sz w:val="1"/>
                <w:szCs w:val="1"/>
                <w:color w:val="auto"/>
              </w:rPr>
            </w:pPr>
          </w:p>
        </w:tc>
      </w:tr>
      <w:tr>
        <w:trPr>
          <w:trHeight w:val="223"/>
        </w:trPr>
        <w:tc>
          <w:tcPr>
            <w:tcW w:w="7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2019</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26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17,647</w:t>
            </w:r>
          </w:p>
        </w:tc>
        <w:tc>
          <w:tcPr>
            <w:tcW w:w="18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w:t>
            </w:r>
          </w:p>
        </w:tc>
        <w:tc>
          <w:tcPr>
            <w:tcW w:w="1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(8,823)</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Pr>
          <w:p>
            <w:pPr>
              <w:spacing w:after="0"/>
              <w:rPr>
                <w:sz w:val="20"/>
                <w:szCs w:val="20"/>
                <w:color w:val="auto"/>
              </w:rPr>
            </w:pPr>
            <w:r>
              <w:rPr>
                <w:rFonts w:ascii="Arial" w:cs="Arial" w:eastAsia="Arial" w:hAnsi="Arial"/>
                <w:sz w:val="18"/>
                <w:szCs w:val="18"/>
                <w:color w:val="auto"/>
              </w:rPr>
              <w:t>Balance as of September 30, 2020</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8,824</w:t>
            </w:r>
          </w:p>
        </w:tc>
        <w:tc>
          <w:tcPr>
            <w:tcW w:w="18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500" w:firstLine="510"/>
        <w:spacing w:after="0" w:line="277" w:lineRule="auto"/>
        <w:rPr>
          <w:sz w:val="20"/>
          <w:szCs w:val="20"/>
          <w:color w:val="auto"/>
        </w:rPr>
      </w:pPr>
      <w:r>
        <w:rPr>
          <w:rFonts w:ascii="Arial" w:cs="Arial" w:eastAsia="Arial" w:hAnsi="Arial"/>
          <w:sz w:val="18"/>
          <w:szCs w:val="18"/>
          <w:color w:val="auto"/>
        </w:rPr>
        <w:t>As of September 30, 2020, the unrecognized stock-based compensation costs related to outstanding unvested RSUs was $0.1 million, which is expected to be recognized over a weighted average period of 1.0 year.</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The following table summarizes stock-based compensation expense by line item in the accompanying condensed combined consolidated statements of operations: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60" w:type="dxa"/>
            <w:vAlign w:val="bottom"/>
            <w:gridSpan w:val="3"/>
          </w:tcPr>
          <w:p>
            <w:pPr>
              <w:jc w:val="right"/>
              <w:ind w:right="416"/>
              <w:spacing w:after="0"/>
              <w:rPr>
                <w:sz w:val="20"/>
                <w:szCs w:val="20"/>
                <w:color w:val="auto"/>
              </w:rPr>
            </w:pPr>
            <w:r>
              <w:rPr>
                <w:rFonts w:ascii="Arial" w:cs="Arial" w:eastAsia="Arial" w:hAnsi="Arial"/>
                <w:sz w:val="14"/>
                <w:szCs w:val="14"/>
                <w:b w:val="1"/>
                <w:bCs w:val="1"/>
                <w:color w:val="auto"/>
                <w:w w:val="96"/>
              </w:rPr>
              <w:t>Three Months Ended</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Nine Months Ended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3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636"/>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360" w:type="dxa"/>
            <w:vAlign w:val="bottom"/>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6"/>
              <w:spacing w:after="0" w:line="155"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34"/>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r>
      <w:tr>
        <w:trPr>
          <w:trHeight w:val="156"/>
        </w:trPr>
        <w:tc>
          <w:tcPr>
            <w:tcW w:w="4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80" w:type="dxa"/>
            <w:vAlign w:val="bottom"/>
            <w:gridSpan w:val="3"/>
          </w:tcPr>
          <w:p>
            <w:pPr>
              <w:jc w:val="right"/>
              <w:ind w:right="556"/>
              <w:spacing w:after="0" w:line="155" w:lineRule="exact"/>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920" w:type="dxa"/>
            <w:vAlign w:val="bottom"/>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5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FF0FC"/>
          </w:tcPr>
          <w:p>
            <w:pPr>
              <w:spacing w:after="0"/>
              <w:rPr>
                <w:sz w:val="19"/>
                <w:szCs w:val="19"/>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Sales, general and administrative</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1,414</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672</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3,634</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2,251</w:t>
            </w:r>
          </w:p>
        </w:tc>
        <w:tc>
          <w:tcPr>
            <w:tcW w:w="100" w:type="dxa"/>
            <w:vAlign w:val="bottom"/>
          </w:tcPr>
          <w:p>
            <w:pPr>
              <w:spacing w:after="0"/>
              <w:rPr>
                <w:sz w:val="19"/>
                <w:szCs w:val="19"/>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Product development</w:t>
            </w:r>
          </w:p>
        </w:tc>
        <w:tc>
          <w:tcPr>
            <w:tcW w:w="9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24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24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w:t>
            </w:r>
          </w:p>
        </w:tc>
        <w:tc>
          <w:tcPr>
            <w:tcW w:w="24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FF0FC"/>
          </w:tcPr>
          <w:p>
            <w:pPr>
              <w:spacing w:after="0"/>
              <w:rPr>
                <w:sz w:val="19"/>
                <w:szCs w:val="19"/>
                <w:color w:val="auto"/>
              </w:rPr>
            </w:pPr>
          </w:p>
        </w:tc>
      </w:tr>
      <w:tr>
        <w:trPr>
          <w:trHeight w:val="223"/>
        </w:trPr>
        <w:tc>
          <w:tcPr>
            <w:tcW w:w="4360" w:type="dxa"/>
            <w:vAlign w:val="bottom"/>
          </w:tcPr>
          <w:p>
            <w:pPr>
              <w:ind w:left="260"/>
              <w:spacing w:after="0"/>
              <w:rPr>
                <w:sz w:val="20"/>
                <w:szCs w:val="20"/>
                <w:color w:val="auto"/>
              </w:rPr>
            </w:pPr>
            <w:r>
              <w:rPr>
                <w:rFonts w:ascii="Arial" w:cs="Arial" w:eastAsia="Arial" w:hAnsi="Arial"/>
                <w:sz w:val="18"/>
                <w:szCs w:val="18"/>
                <w:color w:val="auto"/>
              </w:rPr>
              <w:t>Total stock-based compensation expense</w:t>
            </w:r>
          </w:p>
        </w:tc>
        <w:tc>
          <w:tcPr>
            <w:tcW w:w="920" w:type="dxa"/>
            <w:vAlign w:val="bottom"/>
            <w:tcBorders>
              <w:bottom w:val="single" w:sz="8" w:color="auto"/>
            </w:tcBorders>
          </w:tcPr>
          <w:p>
            <w:pPr>
              <w:jc w:val="right"/>
              <w:ind w:right="76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w:t>
            </w:r>
          </w:p>
        </w:tc>
        <w:tc>
          <w:tcPr>
            <w:tcW w:w="240" w:type="dxa"/>
            <w:vAlign w:val="bottom"/>
          </w:tcPr>
          <w:p>
            <w:pPr>
              <w:spacing w:after="0"/>
              <w:rPr>
                <w:sz w:val="19"/>
                <w:szCs w:val="19"/>
                <w:color w:val="auto"/>
              </w:rPr>
            </w:pPr>
          </w:p>
        </w:tc>
        <w:tc>
          <w:tcPr>
            <w:tcW w:w="1040" w:type="dxa"/>
            <w:vAlign w:val="bottom"/>
            <w:tcBorders>
              <w:bottom w:val="single" w:sz="8" w:color="auto"/>
            </w:tcBorders>
          </w:tcPr>
          <w:p>
            <w:pPr>
              <w:jc w:val="right"/>
              <w:ind w:right="85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w:t>
            </w:r>
          </w:p>
        </w:tc>
        <w:tc>
          <w:tcPr>
            <w:tcW w:w="240" w:type="dxa"/>
            <w:vAlign w:val="bottom"/>
          </w:tcPr>
          <w:p>
            <w:pPr>
              <w:spacing w:after="0"/>
              <w:rPr>
                <w:sz w:val="19"/>
                <w:szCs w:val="19"/>
                <w:color w:val="auto"/>
              </w:rPr>
            </w:pP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4,286</w:t>
            </w:r>
          </w:p>
        </w:tc>
        <w:tc>
          <w:tcPr>
            <w:tcW w:w="24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2,813</w:t>
            </w:r>
          </w:p>
        </w:tc>
        <w:tc>
          <w:tcPr>
            <w:tcW w:w="100" w:type="dxa"/>
            <w:vAlign w:val="bottom"/>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Assumptions</w:t>
      </w:r>
    </w:p>
    <w:p>
      <w:pPr>
        <w:spacing w:after="0" w:line="117"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We estimate the fair value of the stock options on the date of grant using the Black-Scholes-Merton pricing model, with the following valuation assumptions: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95"/>
              </w:rPr>
              <w:t>Three Months Ended</w:t>
            </w:r>
          </w:p>
        </w:tc>
        <w:tc>
          <w:tcPr>
            <w:tcW w:w="300" w:type="dxa"/>
            <w:vAlign w:val="bottom"/>
          </w:tcPr>
          <w:p>
            <w:pPr>
              <w:spacing w:after="0"/>
              <w:rPr>
                <w:sz w:val="14"/>
                <w:szCs w:val="14"/>
                <w:color w:val="auto"/>
              </w:rPr>
            </w:pPr>
          </w:p>
        </w:tc>
        <w:tc>
          <w:tcPr>
            <w:tcW w:w="1960" w:type="dxa"/>
            <w:vAlign w:val="bottom"/>
            <w:gridSpan w:val="3"/>
          </w:tcPr>
          <w:p>
            <w:pPr>
              <w:jc w:val="center"/>
              <w:ind w:left="617"/>
              <w:spacing w:after="0"/>
              <w:rPr>
                <w:sz w:val="20"/>
                <w:szCs w:val="20"/>
                <w:color w:val="auto"/>
              </w:rPr>
            </w:pPr>
            <w:r>
              <w:rPr>
                <w:rFonts w:ascii="Arial" w:cs="Arial" w:eastAsia="Arial" w:hAnsi="Arial"/>
                <w:sz w:val="14"/>
                <w:szCs w:val="14"/>
                <w:b w:val="1"/>
                <w:bCs w:val="1"/>
                <w:color w:val="auto"/>
                <w:w w:val="93"/>
              </w:rPr>
              <w:t>Nine Months Ended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3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center"/>
              <w:ind w:left="696"/>
              <w:spacing w:after="0"/>
              <w:rPr>
                <w:sz w:val="20"/>
                <w:szCs w:val="20"/>
                <w:color w:val="auto"/>
              </w:rPr>
            </w:pPr>
            <w:r>
              <w:rPr>
                <w:rFonts w:ascii="Arial" w:cs="Arial" w:eastAsia="Arial" w:hAnsi="Arial"/>
                <w:sz w:val="14"/>
                <w:szCs w:val="14"/>
                <w:b w:val="1"/>
                <w:bCs w:val="1"/>
                <w:color w:val="auto"/>
                <w:w w:val="91"/>
              </w:rPr>
              <w:t>September 30,</w:t>
            </w:r>
          </w:p>
        </w:tc>
        <w:tc>
          <w:tcPr>
            <w:tcW w:w="11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center"/>
              <w:ind w:left="637"/>
              <w:spacing w:after="0"/>
              <w:rPr>
                <w:sz w:val="20"/>
                <w:szCs w:val="20"/>
                <w:color w:val="auto"/>
              </w:rPr>
            </w:pPr>
            <w:r>
              <w:rPr>
                <w:rFonts w:ascii="Arial" w:cs="Arial" w:eastAsia="Arial" w:hAnsi="Arial"/>
                <w:sz w:val="14"/>
                <w:szCs w:val="14"/>
                <w:b w:val="1"/>
                <w:bCs w:val="1"/>
                <w:color w:val="auto"/>
                <w:w w:val="91"/>
              </w:rPr>
              <w:t>September 30,</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43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36"/>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37"/>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grant date fair value of</w:t>
            </w: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stock (per share)</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16.38</w:t>
            </w:r>
          </w:p>
        </w:tc>
        <w:tc>
          <w:tcPr>
            <w:tcW w:w="24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w:t>
            </w:r>
          </w:p>
        </w:tc>
        <w:tc>
          <w:tcPr>
            <w:tcW w:w="240" w:type="dxa"/>
            <w:vAlign w:val="bottom"/>
            <w:shd w:val="clear" w:color="auto" w:fill="CFF0FC"/>
          </w:tcPr>
          <w:p>
            <w:pPr>
              <w:spacing w:after="0"/>
              <w:rPr>
                <w:sz w:val="20"/>
                <w:szCs w:val="20"/>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Expected term (years)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6.09</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6.37</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41.7%-44.0%</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34.5%-34.9%</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35.8%-44.0%</w:t>
            </w: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34.3%-34.9%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Dividend yield</w:t>
            </w:r>
          </w:p>
        </w:tc>
        <w:tc>
          <w:tcPr>
            <w:tcW w:w="30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Range of risk-free interest rate</w:t>
            </w: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0.3%-0.4%</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1.4-1.9%</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0.3%-1.8%</w:t>
            </w: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796"/>
        </w:trPr>
        <w:tc>
          <w:tcPr>
            <w:tcW w:w="4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ind w:right="56"/>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3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Income (Loss) Per Share</w:t>
      </w:r>
    </w:p>
    <w:p>
      <w:pPr>
        <w:spacing w:after="0" w:line="121" w:lineRule="exact"/>
        <w:rPr>
          <w:sz w:val="20"/>
          <w:szCs w:val="20"/>
          <w:color w:val="auto"/>
        </w:rPr>
      </w:pPr>
    </w:p>
    <w:p>
      <w:pPr>
        <w:ind w:right="600" w:firstLine="510"/>
        <w:spacing w:after="0" w:line="277" w:lineRule="auto"/>
        <w:rPr>
          <w:sz w:val="20"/>
          <w:szCs w:val="20"/>
          <w:color w:val="auto"/>
        </w:rPr>
      </w:pPr>
      <w:r>
        <w:rPr>
          <w:rFonts w:ascii="Arial" w:cs="Arial" w:eastAsia="Arial" w:hAnsi="Arial"/>
          <w:sz w:val="18"/>
          <w:szCs w:val="18"/>
          <w:color w:val="auto"/>
        </w:rPr>
        <w:t>Following the Reorganization, all share and per share information in this section has been revised as Corsair common share equivalents. The following table summarizes the calculation of basic and diluted net income (loss) per share: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44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30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00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r>
      <w:tr>
        <w:trPr>
          <w:trHeight w:val="155"/>
        </w:trPr>
        <w:tc>
          <w:tcPr>
            <w:tcW w:w="300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60" w:type="dxa"/>
            <w:vAlign w:val="bottom"/>
            <w:gridSpan w:val="9"/>
          </w:tcPr>
          <w:p>
            <w:pPr>
              <w:jc w:val="right"/>
              <w:ind w:right="150"/>
              <w:spacing w:after="0" w:line="155" w:lineRule="exact"/>
              <w:rPr>
                <w:sz w:val="20"/>
                <w:szCs w:val="20"/>
                <w:color w:val="auto"/>
              </w:rPr>
            </w:pPr>
            <w:r>
              <w:rPr>
                <w:rFonts w:ascii="Arial" w:cs="Arial" w:eastAsia="Arial" w:hAnsi="Arial"/>
                <w:sz w:val="14"/>
                <w:szCs w:val="14"/>
                <w:b w:val="1"/>
                <w:bCs w:val="1"/>
                <w:color w:val="auto"/>
              </w:rPr>
              <w:t>(in thousands, except share and per share amounts)</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8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69"/>
        </w:trPr>
        <w:tc>
          <w:tcPr>
            <w:tcW w:w="5840" w:type="dxa"/>
            <w:vAlign w:val="bottom"/>
            <w:gridSpan w:val="2"/>
          </w:tcPr>
          <w:p>
            <w:pPr>
              <w:spacing w:after="0"/>
              <w:rPr>
                <w:sz w:val="20"/>
                <w:szCs w:val="20"/>
                <w:color w:val="auto"/>
              </w:rPr>
            </w:pPr>
            <w:r>
              <w:rPr>
                <w:rFonts w:ascii="Arial" w:cs="Arial" w:eastAsia="Arial" w:hAnsi="Arial"/>
                <w:sz w:val="18"/>
                <w:szCs w:val="18"/>
                <w:color w:val="auto"/>
              </w:rPr>
              <w:t>Net income (loss), basic and diluted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36,357</w:t>
            </w:r>
          </w:p>
        </w:tc>
        <w:tc>
          <w:tcPr>
            <w:tcW w:w="240" w:type="dxa"/>
            <w:vAlign w:val="bottom"/>
          </w:tcPr>
          <w:p>
            <w:pPr>
              <w:spacing w:after="0"/>
              <w:rPr>
                <w:sz w:val="23"/>
                <w:szCs w:val="23"/>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1,519</w:t>
            </w:r>
          </w:p>
        </w:tc>
        <w:tc>
          <w:tcPr>
            <w:tcW w:w="240" w:type="dxa"/>
            <w:vAlign w:val="bottom"/>
          </w:tcPr>
          <w:p>
            <w:pPr>
              <w:spacing w:after="0"/>
              <w:rPr>
                <w:sz w:val="23"/>
                <w:szCs w:val="23"/>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60,174</w:t>
            </w:r>
          </w:p>
        </w:tc>
        <w:tc>
          <w:tcPr>
            <w:tcW w:w="5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(14,406)</w:t>
            </w:r>
          </w:p>
        </w:tc>
      </w:tr>
      <w:tr>
        <w:trPr>
          <w:trHeight w:val="210"/>
        </w:trPr>
        <w:tc>
          <w:tcPr>
            <w:tcW w:w="58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5"/>
        </w:trPr>
        <w:tc>
          <w:tcPr>
            <w:tcW w:w="5840" w:type="dxa"/>
            <w:vAlign w:val="bottom"/>
            <w:gridSpan w:val="2"/>
          </w:tcPr>
          <w:p>
            <w:pPr>
              <w:spacing w:after="0"/>
              <w:rPr>
                <w:sz w:val="20"/>
                <w:szCs w:val="20"/>
                <w:color w:val="auto"/>
              </w:rPr>
            </w:pPr>
            <w:r>
              <w:rPr>
                <w:rFonts w:ascii="Arial" w:cs="Arial" w:eastAsia="Arial" w:hAnsi="Arial"/>
                <w:sz w:val="18"/>
                <w:szCs w:val="18"/>
                <w:color w:val="auto"/>
              </w:rPr>
              <w:t>Weighted-average shares used to compute net income (loss) per</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840" w:type="dxa"/>
            <w:vAlign w:val="bottom"/>
            <w:gridSpan w:val="2"/>
          </w:tcPr>
          <w:p>
            <w:pPr>
              <w:ind w:left="140"/>
              <w:spacing w:after="0"/>
              <w:rPr>
                <w:sz w:val="20"/>
                <w:szCs w:val="20"/>
                <w:color w:val="auto"/>
              </w:rPr>
            </w:pPr>
            <w:r>
              <w:rPr>
                <w:rFonts w:ascii="Arial" w:cs="Arial" w:eastAsia="Arial" w:hAnsi="Arial"/>
                <w:sz w:val="18"/>
                <w:szCs w:val="18"/>
                <w:color w:val="auto"/>
              </w:rPr>
              <w:t>share, basic</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84,870,837</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75,939,443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84,352,415</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75,928,057</w:t>
            </w:r>
          </w:p>
        </w:tc>
        <w:tc>
          <w:tcPr>
            <w:tcW w:w="100" w:type="dxa"/>
            <w:vAlign w:val="bottom"/>
          </w:tcPr>
          <w:p>
            <w:pPr>
              <w:spacing w:after="0"/>
              <w:rPr>
                <w:sz w:val="20"/>
                <w:szCs w:val="20"/>
                <w:color w:val="auto"/>
              </w:rPr>
            </w:pPr>
          </w:p>
        </w:tc>
      </w:tr>
      <w:tr>
        <w:trPr>
          <w:trHeight w:val="229"/>
        </w:trPr>
        <w:tc>
          <w:tcPr>
            <w:tcW w:w="5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Effect of dilutive securities </w:t>
            </w:r>
            <w:r>
              <w:rPr>
                <w:rFonts w:ascii="Arial" w:cs="Arial" w:eastAsia="Arial" w:hAnsi="Arial"/>
                <w:sz w:val="15"/>
                <w:szCs w:val="15"/>
                <w:color w:val="auto"/>
              </w:rPr>
              <w:t>(1)</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5,213,112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1,944,311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3,146,104</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09"/>
        </w:trPr>
        <w:tc>
          <w:tcPr>
            <w:tcW w:w="5840" w:type="dxa"/>
            <w:vAlign w:val="bottom"/>
            <w:gridSpan w:val="2"/>
          </w:tcPr>
          <w:p>
            <w:pPr>
              <w:spacing w:after="0"/>
              <w:rPr>
                <w:sz w:val="20"/>
                <w:szCs w:val="20"/>
                <w:color w:val="auto"/>
              </w:rPr>
            </w:pPr>
            <w:r>
              <w:rPr>
                <w:rFonts w:ascii="Arial" w:cs="Arial" w:eastAsia="Arial" w:hAnsi="Arial"/>
                <w:sz w:val="18"/>
                <w:szCs w:val="18"/>
                <w:color w:val="auto"/>
              </w:rPr>
              <w:t>Weighted-average shares used to compute net income (loss) per</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584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share, diluted</w:t>
            </w: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90,083,949</w:t>
            </w:r>
          </w:p>
        </w:tc>
        <w:tc>
          <w:tcPr>
            <w:tcW w:w="24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77,883,754</w:t>
            </w:r>
          </w:p>
        </w:tc>
        <w:tc>
          <w:tcPr>
            <w:tcW w:w="240" w:type="dxa"/>
            <w:vAlign w:val="bottom"/>
            <w:tcBorders>
              <w:bottom w:val="single" w:sz="8" w:color="CFF0FC"/>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87,498,519</w:t>
            </w:r>
          </w:p>
        </w:tc>
        <w:tc>
          <w:tcPr>
            <w:tcW w:w="240" w:type="dxa"/>
            <w:vAlign w:val="bottom"/>
            <w:tcBorders>
              <w:bottom w:val="single" w:sz="8" w:color="CFF0FC"/>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75,928,057</w:t>
            </w:r>
          </w:p>
        </w:tc>
        <w:tc>
          <w:tcPr>
            <w:tcW w:w="100" w:type="dxa"/>
            <w:vAlign w:val="bottom"/>
            <w:tcBorders>
              <w:bottom w:val="single" w:sz="8" w:color="CFF0FC"/>
            </w:tcBorders>
          </w:tcPr>
          <w:p>
            <w:pPr>
              <w:spacing w:after="0"/>
              <w:rPr>
                <w:sz w:val="23"/>
                <w:szCs w:val="23"/>
                <w:color w:val="auto"/>
              </w:rPr>
            </w:pPr>
          </w:p>
        </w:tc>
      </w:tr>
      <w:tr>
        <w:trPr>
          <w:trHeight w:val="210"/>
        </w:trPr>
        <w:tc>
          <w:tcPr>
            <w:tcW w:w="5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income (loss) per share:</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69"/>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0.43</w:t>
            </w:r>
          </w:p>
        </w:tc>
        <w:tc>
          <w:tcPr>
            <w:tcW w:w="240" w:type="dxa"/>
            <w:vAlign w:val="bottom"/>
          </w:tcPr>
          <w:p>
            <w:pPr>
              <w:spacing w:after="0"/>
              <w:rPr>
                <w:sz w:val="23"/>
                <w:szCs w:val="23"/>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Pr>
          <w:p>
            <w:pPr>
              <w:spacing w:after="0"/>
              <w:rPr>
                <w:sz w:val="23"/>
                <w:szCs w:val="23"/>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0.71</w:t>
            </w:r>
          </w:p>
        </w:tc>
        <w:tc>
          <w:tcPr>
            <w:tcW w:w="24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(0.19)</w:t>
            </w:r>
          </w:p>
        </w:tc>
      </w:tr>
      <w:tr>
        <w:trPr>
          <w:trHeight w:val="210"/>
        </w:trPr>
        <w:tc>
          <w:tcPr>
            <w:tcW w:w="5840" w:type="dxa"/>
            <w:vAlign w:val="bottom"/>
            <w:tcBorders>
              <w:top w:val="single" w:sz="8" w:color="CFF0FC"/>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0.40</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0.69</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30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6"/>
        </w:trPr>
        <w:tc>
          <w:tcPr>
            <w:tcW w:w="3000" w:type="dxa"/>
            <w:vAlign w:val="bottom"/>
            <w:tcBorders>
              <w:bottom w:val="single" w:sz="8" w:color="auto"/>
            </w:tcBorders>
          </w:tcPr>
          <w:p>
            <w:pPr>
              <w:spacing w:after="0"/>
              <w:rPr>
                <w:sz w:val="10"/>
                <w:szCs w:val="10"/>
                <w:color w:val="auto"/>
              </w:rPr>
            </w:pPr>
          </w:p>
        </w:tc>
        <w:tc>
          <w:tcPr>
            <w:tcW w:w="2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2" w:lineRule="exact"/>
        <w:rPr>
          <w:sz w:val="20"/>
          <w:szCs w:val="20"/>
          <w:color w:val="auto"/>
        </w:rPr>
      </w:pPr>
    </w:p>
    <w:p>
      <w:pPr>
        <w:ind w:left="500" w:hanging="492"/>
        <w:spacing w:after="0" w:line="253" w:lineRule="auto"/>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As a result of our net loss, potentially dilutive ordinary share equivalents of approximately 1.8 million options were excluded from the calculation of diluted net loss per share for the nine months ended September 30, 2019.</w:t>
      </w:r>
    </w:p>
    <w:p>
      <w:pPr>
        <w:spacing w:after="0" w:line="218" w:lineRule="exact"/>
        <w:rPr>
          <w:sz w:val="20"/>
          <w:szCs w:val="20"/>
          <w:color w:val="auto"/>
        </w:rPr>
      </w:pPr>
    </w:p>
    <w:p>
      <w:pPr>
        <w:ind w:right="220" w:firstLine="510"/>
        <w:spacing w:after="0" w:line="257" w:lineRule="auto"/>
        <w:rPr>
          <w:sz w:val="20"/>
          <w:szCs w:val="20"/>
          <w:color w:val="auto"/>
        </w:rPr>
      </w:pPr>
      <w:r>
        <w:rPr>
          <w:rFonts w:ascii="Arial" w:cs="Arial" w:eastAsia="Arial" w:hAnsi="Arial"/>
          <w:sz w:val="18"/>
          <w:szCs w:val="18"/>
          <w:color w:val="auto"/>
        </w:rPr>
        <w:t>Share equivalents attributable to outstanding stock options and RSUs totaling approximately 22 thousand and 1.2 million for the three months ended September 30, 2020 and 2019, respectively, and 2.1 million and 1.7 million for the nine months ended September 30, 2020 and 2019, respectively, were excluded from the calculation of diluted net income per share because the combined exercise price and average unamortized grant date fair value upon exercise of the stock options or vesting of RSUs were greater than the average market price of our shares during the periods presented herein, and therefore their inclusion would have been anti-dilutive.</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21" w:lineRule="exact"/>
        <w:rPr>
          <w:sz w:val="20"/>
          <w:szCs w:val="20"/>
          <w:color w:val="auto"/>
        </w:rPr>
      </w:pPr>
    </w:p>
    <w:p>
      <w:pPr>
        <w:ind w:right="700" w:firstLine="510"/>
        <w:spacing w:after="0" w:line="277" w:lineRule="auto"/>
        <w:rPr>
          <w:sz w:val="20"/>
          <w:szCs w:val="20"/>
          <w:color w:val="auto"/>
        </w:rPr>
      </w:pPr>
      <w:r>
        <w:rPr>
          <w:rFonts w:ascii="Arial" w:cs="Arial" w:eastAsia="Arial" w:hAnsi="Arial"/>
          <w:sz w:val="18"/>
          <w:szCs w:val="18"/>
          <w:color w:val="auto"/>
        </w:rPr>
        <w:t>The table below presents our income (loss) before income taxes, income tax (expense) benefit and effective income tax rates for all periods presented: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40" w:type="dxa"/>
            <w:vAlign w:val="bottom"/>
            <w:gridSpan w:val="2"/>
          </w:tcPr>
          <w:p>
            <w:pPr>
              <w:jc w:val="center"/>
              <w:ind w:right="339"/>
              <w:spacing w:after="0"/>
              <w:rPr>
                <w:sz w:val="20"/>
                <w:szCs w:val="20"/>
                <w:color w:val="auto"/>
              </w:rPr>
            </w:pPr>
            <w:r>
              <w:rPr>
                <w:rFonts w:ascii="Arial" w:cs="Arial" w:eastAsia="Arial" w:hAnsi="Arial"/>
                <w:sz w:val="14"/>
                <w:szCs w:val="14"/>
                <w:b w:val="1"/>
                <w:bCs w:val="1"/>
                <w:color w:val="auto"/>
                <w:w w:val="93"/>
              </w:rPr>
              <w:t>Three Months Ended</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80" w:type="dxa"/>
            <w:vAlign w:val="bottom"/>
            <w:gridSpan w:val="2"/>
          </w:tcPr>
          <w:p>
            <w:pPr>
              <w:jc w:val="center"/>
              <w:ind w:left="439"/>
              <w:spacing w:after="0"/>
              <w:rPr>
                <w:sz w:val="20"/>
                <w:szCs w:val="20"/>
                <w:color w:val="auto"/>
              </w:rPr>
            </w:pPr>
            <w:r>
              <w:rPr>
                <w:rFonts w:ascii="Arial" w:cs="Arial" w:eastAsia="Arial" w:hAnsi="Arial"/>
                <w:sz w:val="14"/>
                <w:szCs w:val="14"/>
                <w:b w:val="1"/>
                <w:bCs w:val="1"/>
                <w:color w:val="auto"/>
                <w:w w:val="94"/>
              </w:rPr>
              <w:t>Nine Months Ended</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42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2"/>
          </w:tcPr>
          <w:p>
            <w:pPr>
              <w:jc w:val="center"/>
              <w:ind w:right="359"/>
              <w:spacing w:after="0"/>
              <w:rPr>
                <w:sz w:val="20"/>
                <w:szCs w:val="20"/>
                <w:color w:val="auto"/>
              </w:rPr>
            </w:pPr>
            <w:r>
              <w:rPr>
                <w:rFonts w:ascii="Arial" w:cs="Arial" w:eastAsia="Arial" w:hAnsi="Arial"/>
                <w:sz w:val="14"/>
                <w:szCs w:val="14"/>
                <w:b w:val="1"/>
                <w:bCs w:val="1"/>
                <w:color w:val="auto"/>
                <w:w w:val="91"/>
              </w:rPr>
              <w:t>September 30,</w:t>
            </w:r>
          </w:p>
        </w:tc>
        <w:tc>
          <w:tcPr>
            <w:tcW w:w="5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2"/>
          </w:tcPr>
          <w:p>
            <w:pPr>
              <w:jc w:val="center"/>
              <w:ind w:left="439"/>
              <w:spacing w:after="0"/>
              <w:rPr>
                <w:sz w:val="20"/>
                <w:szCs w:val="20"/>
                <w:color w:val="auto"/>
              </w:rPr>
            </w:pPr>
            <w:r>
              <w:rPr>
                <w:rFonts w:ascii="Arial" w:cs="Arial" w:eastAsia="Arial" w:hAnsi="Arial"/>
                <w:sz w:val="14"/>
                <w:szCs w:val="14"/>
                <w:b w:val="1"/>
                <w:bCs w:val="1"/>
                <w:color w:val="auto"/>
                <w:w w:val="91"/>
              </w:rPr>
              <w:t>September 30,</w:t>
            </w:r>
          </w:p>
        </w:tc>
        <w:tc>
          <w:tcPr>
            <w:tcW w:w="9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4200" w:type="dxa"/>
            <w:vAlign w:val="bottom"/>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9"/>
              <w:spacing w:after="0" w:line="155"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759"/>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15"/>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r>
      <w:tr>
        <w:trPr>
          <w:trHeight w:val="155"/>
        </w:trPr>
        <w:tc>
          <w:tcPr>
            <w:tcW w:w="4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60" w:type="dxa"/>
            <w:vAlign w:val="bottom"/>
            <w:gridSpan w:val="3"/>
          </w:tcPr>
          <w:p>
            <w:pPr>
              <w:jc w:val="right"/>
              <w:ind w:right="70"/>
              <w:spacing w:after="0" w:line="155" w:lineRule="exact"/>
              <w:rPr>
                <w:sz w:val="20"/>
                <w:szCs w:val="20"/>
                <w:color w:val="auto"/>
              </w:rPr>
            </w:pPr>
            <w:r>
              <w:rPr>
                <w:rFonts w:ascii="Arial" w:cs="Arial" w:eastAsia="Arial" w:hAnsi="Arial"/>
                <w:sz w:val="14"/>
                <w:szCs w:val="14"/>
                <w:b w:val="1"/>
                <w:bCs w:val="1"/>
                <w:color w:val="auto"/>
              </w:rPr>
              <w:t>(In thousands)</w:t>
            </w:r>
          </w:p>
        </w:tc>
        <w:tc>
          <w:tcPr>
            <w:tcW w:w="1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Income (loss) before income taxes</w:t>
            </w:r>
          </w:p>
        </w:tc>
        <w:tc>
          <w:tcPr>
            <w:tcW w:w="920" w:type="dxa"/>
            <w:vAlign w:val="bottom"/>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ind w:right="157"/>
              <w:spacing w:after="0"/>
              <w:rPr>
                <w:sz w:val="20"/>
                <w:szCs w:val="20"/>
                <w:color w:val="auto"/>
              </w:rPr>
            </w:pPr>
            <w:r>
              <w:rPr>
                <w:rFonts w:ascii="Arial" w:cs="Arial" w:eastAsia="Arial" w:hAnsi="Arial"/>
                <w:sz w:val="18"/>
                <w:szCs w:val="18"/>
                <w:color w:val="auto"/>
                <w:w w:val="94"/>
              </w:rPr>
              <w:t>39,574</w:t>
            </w:r>
          </w:p>
        </w:tc>
        <w:tc>
          <w:tcPr>
            <w:tcW w:w="1060" w:type="dxa"/>
            <w:vAlign w:val="bottom"/>
            <w:shd w:val="clear" w:color="auto" w:fill="CFF0FC"/>
          </w:tcPr>
          <w:p>
            <w:pPr>
              <w:jc w:val="right"/>
              <w:ind w:right="799"/>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1,444</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ind w:right="159"/>
              <w:spacing w:after="0"/>
              <w:rPr>
                <w:sz w:val="20"/>
                <w:szCs w:val="20"/>
                <w:color w:val="auto"/>
              </w:rPr>
            </w:pPr>
            <w:r>
              <w:rPr>
                <w:rFonts w:ascii="Arial" w:cs="Arial" w:eastAsia="Arial" w:hAnsi="Arial"/>
                <w:sz w:val="18"/>
                <w:szCs w:val="18"/>
                <w:color w:val="auto"/>
              </w:rPr>
              <w:t>70,323</w:t>
            </w:r>
          </w:p>
        </w:tc>
        <w:tc>
          <w:tcPr>
            <w:tcW w:w="60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(19,051)</w:t>
            </w:r>
          </w:p>
        </w:tc>
      </w:tr>
      <w:tr>
        <w:trPr>
          <w:trHeight w:val="229"/>
        </w:trPr>
        <w:tc>
          <w:tcPr>
            <w:tcW w:w="42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920" w:type="dxa"/>
            <w:vAlign w:val="bottom"/>
          </w:tcPr>
          <w:p>
            <w:pPr>
              <w:spacing w:after="0"/>
              <w:rPr>
                <w:sz w:val="19"/>
                <w:szCs w:val="19"/>
                <w:color w:val="auto"/>
              </w:rPr>
            </w:pPr>
          </w:p>
        </w:tc>
        <w:tc>
          <w:tcPr>
            <w:tcW w:w="780" w:type="dxa"/>
            <w:vAlign w:val="bottom"/>
          </w:tcPr>
          <w:p>
            <w:pPr>
              <w:jc w:val="right"/>
              <w:ind w:right="77"/>
              <w:spacing w:after="0"/>
              <w:rPr>
                <w:sz w:val="20"/>
                <w:szCs w:val="20"/>
                <w:color w:val="auto"/>
              </w:rPr>
            </w:pPr>
            <w:r>
              <w:rPr>
                <w:rFonts w:ascii="Arial" w:cs="Arial" w:eastAsia="Arial" w:hAnsi="Arial"/>
                <w:sz w:val="18"/>
                <w:szCs w:val="18"/>
                <w:color w:val="auto"/>
              </w:rPr>
              <w:t>(3,217)</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75</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jc w:val="right"/>
              <w:ind w:right="99"/>
              <w:spacing w:after="0"/>
              <w:rPr>
                <w:sz w:val="20"/>
                <w:szCs w:val="20"/>
                <w:color w:val="auto"/>
              </w:rPr>
            </w:pPr>
            <w:r>
              <w:rPr>
                <w:rFonts w:ascii="Arial" w:cs="Arial" w:eastAsia="Arial" w:hAnsi="Arial"/>
                <w:sz w:val="18"/>
                <w:szCs w:val="18"/>
                <w:color w:val="auto"/>
              </w:rPr>
              <w:t>(10,149)</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4,645</w:t>
            </w:r>
          </w:p>
        </w:tc>
        <w:tc>
          <w:tcPr>
            <w:tcW w:w="180" w:type="dxa"/>
            <w:vAlign w:val="bottom"/>
          </w:tcPr>
          <w:p>
            <w:pPr>
              <w:spacing w:after="0"/>
              <w:rPr>
                <w:sz w:val="19"/>
                <w:szCs w:val="19"/>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Effective income tax rate</w:t>
            </w:r>
          </w:p>
        </w:tc>
        <w:tc>
          <w:tcPr>
            <w:tcW w:w="9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0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5.2%</w:t>
            </w:r>
          </w:p>
        </w:tc>
        <w:tc>
          <w:tcPr>
            <w:tcW w:w="4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6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24.4%</w:t>
            </w:r>
          </w:p>
        </w:tc>
      </w:tr>
    </w:tbl>
    <w:p>
      <w:pPr>
        <w:spacing w:after="0" w:line="229"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We are subject to income taxes in the United States and foreign jurisdictions in which we do business. These foreign jurisdictions have statutory tax rates different from those in the United States. Accordingly, our effective tax rates will vary depending on the relative proportion of foreign to United States income, the utilization of net operating loss and tax credit carry forwards, changes in geographic mix of income and expense, and changes in management’s assessment of matters such as the ability to realize deferred tax assets, and changes in tax laws.</w:t>
      </w:r>
    </w:p>
    <w:p>
      <w:pPr>
        <w:spacing w:after="0" w:line="171" w:lineRule="exact"/>
        <w:rPr>
          <w:sz w:val="20"/>
          <w:szCs w:val="20"/>
          <w:color w:val="auto"/>
        </w:rPr>
      </w:pPr>
    </w:p>
    <w:p>
      <w:pPr>
        <w:ind w:firstLine="510"/>
        <w:spacing w:after="0" w:line="286" w:lineRule="auto"/>
        <w:rPr>
          <w:sz w:val="20"/>
          <w:szCs w:val="20"/>
          <w:color w:val="auto"/>
        </w:rPr>
      </w:pPr>
      <w:r>
        <w:rPr>
          <w:rFonts w:ascii="Arial" w:cs="Arial" w:eastAsia="Arial" w:hAnsi="Arial"/>
          <w:sz w:val="17"/>
          <w:szCs w:val="17"/>
          <w:color w:val="auto"/>
        </w:rPr>
        <w:t>The Coronavirus Aid, Relief, and Economic Security Act (</w:t>
      </w:r>
      <w:r>
        <w:rPr>
          <w:rFonts w:ascii="Arial" w:cs="Arial" w:eastAsia="Arial" w:hAnsi="Arial"/>
          <w:sz w:val="17"/>
          <w:szCs w:val="17"/>
          <w:i w:val="1"/>
          <w:iCs w:val="1"/>
          <w:color w:val="auto"/>
        </w:rPr>
        <w:t>“CARES Act”</w:t>
      </w:r>
      <w:r>
        <w:rPr>
          <w:rFonts w:ascii="Arial" w:cs="Arial" w:eastAsia="Arial" w:hAnsi="Arial"/>
          <w:sz w:val="17"/>
          <w:szCs w:val="17"/>
          <w:color w:val="auto"/>
        </w:rPr>
        <w:t>), enacted on March 27, 2020, provides tax relief to individuals and businesses in light of the impacts of COVID-19. Changes in tax laws or rates are accounted for in the period of enactment and as a result, additional income tax benefits of $0.6 million were recorded during the nine months ended September 30, 2020 resulting from the enactment of the CARES Act.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Our effective tax rates were tax expense of 8.1% and tax benefit of 5.2% for the three months ended September 30, 2020 and 2019, respectively, and tax expense of 14.4% and tax benefit of 24.4% for the nine months ended September 30, 2020 and 2019, respectively. The change in the effective income tax rate for the three months ended September 30, 2020, compared to the same period last year was primarily due to the mix of income and losses in the various tax jurisdictions in which we operate, as well as the recognition of a $1.5 million tax benefit in the three months ended September 30, 2019 versus a $4.3 million tax benefit recognized in the three months September 30, 2020, resulting from the change in management’s assessment of the realizability of certain deferred tax assets as a result of the Reorganization. The change in the effective tax rate for the nine months ended September 30, 2020, compared to the same period last year was primarily due to the recognition of a $4.3 million tax benefit in the nine months ended September 30, 2020 resulting from the change in management’s assessment of the realizability of certain deferred tax assets as a result of the Reorganization, and a $0.6 million one-time benefit from the change in tax law resulting from the enactment of the CARES Act in the first quarter 2020.</w:t>
      </w:r>
    </w:p>
    <w:p>
      <w:pPr>
        <w:spacing w:after="0" w:line="166"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Unrecognized tax benefits were $0.6 million and $0.7 million as of September 30, 2020 and December 31, 2019, respectively, and if recognized, would favorably affect the effective income tax rate in future periods.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Related-Party Transactions</w:t>
      </w:r>
    </w:p>
    <w:p>
      <w:pPr>
        <w:spacing w:after="0" w:line="121"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A company affiliated with a major shareholder, EagleTree-Carbide (GP), LLC, provided management and consulting services to us. We incurred $21 thousand and $33 thousand for the three months ended September 30, 2020 and 2019, respectively, and $0.1 million for each of the nine months ended September 30, 2020 and 2019, which primarily covered travel and out-of-pocket expenses related to such services. The unpaid services were $21 thousand and $0.1 million as of September 30, 2020 and December 31, 2019, respectively. This management and consulting service agreement was terminated in September 2020.</w:t>
      </w:r>
    </w:p>
    <w:p>
      <w:pPr>
        <w:spacing w:after="0" w:line="188" w:lineRule="exact"/>
        <w:rPr>
          <w:sz w:val="20"/>
          <w:szCs w:val="20"/>
          <w:color w:val="auto"/>
        </w:rPr>
      </w:pPr>
    </w:p>
    <w:p>
      <w:pPr>
        <w:ind w:right="160" w:firstLine="510"/>
        <w:spacing w:after="0" w:line="301" w:lineRule="auto"/>
        <w:rPr>
          <w:sz w:val="20"/>
          <w:szCs w:val="20"/>
          <w:color w:val="auto"/>
        </w:rPr>
      </w:pPr>
      <w:r>
        <w:rPr>
          <w:rFonts w:ascii="Arial" w:cs="Arial" w:eastAsia="Arial" w:hAnsi="Arial"/>
          <w:sz w:val="16"/>
          <w:szCs w:val="16"/>
          <w:color w:val="auto"/>
        </w:rPr>
        <w:t>One of our directors, through one of his companies, entered into a service agreement to serve as our business management consultant. We incurred $30 thousand and $8 thousand of consulting fees under the service agreement for the three months ended September 30, 2020 and 2019, respectively, and $92 thousand and $55 thousand for the nine months ended September 30, 2020 and 2019, respectively. The unpaid services were $44 thousand and $30 thousand as of September 30, 2020 and December 31, 2019, respectively. This service agreement was terminated in September 2020.</w:t>
      </w:r>
    </w:p>
    <w:p>
      <w:pPr>
        <w:spacing w:after="0" w:line="157"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As discussed in Note 8, we had a Second Lien Term Loan outstanding as of December 31, 2019. The total net carrying value of the Second Lien Term Loan balance held by all related parties, an affiliate of the Parent and one of our directors, was $5.8 million as of December 31, 2019. As of September 30, 2020, the outstanding balance of the Second Lien Term Loan was fully repaid and as a result, there was no debt held by related parties as of September 30, 2020.</w:t>
      </w:r>
    </w:p>
    <w:p>
      <w:pPr>
        <w:spacing w:after="0" w:line="291" w:lineRule="exact"/>
        <w:rPr>
          <w:sz w:val="20"/>
          <w:szCs w:val="20"/>
          <w:color w:val="auto"/>
        </w:rPr>
      </w:pPr>
    </w:p>
    <w:p>
      <w:pPr>
        <w:ind w:left="520" w:right="8040" w:hanging="512"/>
        <w:spacing w:after="0" w:line="422" w:lineRule="auto"/>
        <w:tabs>
          <w:tab w:leader="none" w:pos="28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Segment and Geographic Information </w:t>
      </w:r>
      <w:r>
        <w:rPr>
          <w:rFonts w:ascii="Arial" w:cs="Arial" w:eastAsia="Arial" w:hAnsi="Arial"/>
          <w:sz w:val="16"/>
          <w:szCs w:val="16"/>
          <w:color w:val="auto"/>
        </w:rPr>
        <w:t>We have two reportable segments:</w:t>
      </w:r>
    </w:p>
    <w:p>
      <w:pPr>
        <w:ind w:left="1000" w:right="560" w:hanging="493"/>
        <w:spacing w:after="0" w:line="282" w:lineRule="auto"/>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b w:val="1"/>
          <w:bCs w:val="1"/>
          <w:color w:val="auto"/>
        </w:rPr>
        <w:t>Gamer and Creator Peripherals</w:t>
      </w:r>
      <w:r>
        <w:rPr>
          <w:rFonts w:ascii="Arial" w:cs="Arial" w:eastAsia="Arial" w:hAnsi="Arial"/>
          <w:sz w:val="18"/>
          <w:szCs w:val="18"/>
          <w:color w:val="auto"/>
        </w:rPr>
        <w:t>, which includes high-performance gaming keyboards, mice, headsets and controllers, as well as our</w:t>
      </w:r>
      <w:r>
        <w:rPr>
          <w:rFonts w:ascii="Arial" w:cs="Arial" w:eastAsia="Arial" w:hAnsi="Arial"/>
          <w:sz w:val="18"/>
          <w:szCs w:val="18"/>
          <w:b w:val="1"/>
          <w:bCs w:val="1"/>
          <w:color w:val="auto"/>
        </w:rPr>
        <w:t xml:space="preserve"> </w:t>
      </w:r>
      <w:r>
        <w:rPr>
          <w:rFonts w:ascii="Arial" w:cs="Arial" w:eastAsia="Arial" w:hAnsi="Arial"/>
          <w:sz w:val="18"/>
          <w:szCs w:val="18"/>
          <w:color w:val="auto"/>
        </w:rPr>
        <w:t>gaming gear including capture cards, studio accessories, among others.</w:t>
      </w:r>
    </w:p>
    <w:p>
      <w:pPr>
        <w:spacing w:after="0" w:line="53" w:lineRule="exact"/>
        <w:rPr>
          <w:rFonts w:ascii="Arial" w:cs="Arial" w:eastAsia="Arial" w:hAnsi="Arial"/>
          <w:sz w:val="18"/>
          <w:szCs w:val="18"/>
          <w:color w:val="auto"/>
        </w:rPr>
      </w:pPr>
    </w:p>
    <w:p>
      <w:pPr>
        <w:ind w:left="1000" w:right="140" w:hanging="493"/>
        <w:spacing w:after="0" w:line="282" w:lineRule="auto"/>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b w:val="1"/>
          <w:bCs w:val="1"/>
          <w:color w:val="auto"/>
        </w:rPr>
        <w:t>Gaming Components and Systems</w:t>
      </w:r>
      <w:r>
        <w:rPr>
          <w:rFonts w:ascii="Arial" w:cs="Arial" w:eastAsia="Arial" w:hAnsi="Arial"/>
          <w:sz w:val="18"/>
          <w:szCs w:val="18"/>
          <w:color w:val="auto"/>
        </w:rPr>
        <w:t>, which includes high performance power supply units, or PSUs, cooling solutions, computer cases, and</w:t>
      </w:r>
      <w:r>
        <w:rPr>
          <w:rFonts w:ascii="Arial" w:cs="Arial" w:eastAsia="Arial" w:hAnsi="Arial"/>
          <w:sz w:val="18"/>
          <w:szCs w:val="18"/>
          <w:b w:val="1"/>
          <w:bCs w:val="1"/>
          <w:color w:val="auto"/>
        </w:rPr>
        <w:t xml:space="preserve"> </w:t>
      </w:r>
      <w:r>
        <w:rPr>
          <w:rFonts w:ascii="Arial" w:cs="Arial" w:eastAsia="Arial" w:hAnsi="Arial"/>
          <w:sz w:val="18"/>
          <w:szCs w:val="18"/>
          <w:color w:val="auto"/>
        </w:rPr>
        <w:t>DRAM modules, as well as high-end prebuilt and custom-built gaming PCs, among others.</w:t>
      </w:r>
    </w:p>
    <w:p>
      <w:pPr>
        <w:spacing w:after="0" w:line="166"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The segments are defined as those operations our chief operating decision maker (</w:t>
      </w:r>
      <w:r>
        <w:rPr>
          <w:rFonts w:ascii="Arial" w:cs="Arial" w:eastAsia="Arial" w:hAnsi="Arial"/>
          <w:sz w:val="17"/>
          <w:szCs w:val="17"/>
          <w:i w:val="1"/>
          <w:iCs w:val="1"/>
          <w:color w:val="auto"/>
        </w:rPr>
        <w:t>“CODM”</w:t>
      </w:r>
      <w:r>
        <w:rPr>
          <w:rFonts w:ascii="Arial" w:cs="Arial" w:eastAsia="Arial" w:hAnsi="Arial"/>
          <w:sz w:val="17"/>
          <w:szCs w:val="17"/>
          <w:color w:val="auto"/>
        </w:rPr>
        <w:t>) regularly reviews to analyze performance and allocate resources. Our CODM is determined to be Corsair’s Chief Executive Officer. The results of the reportable segments are derived directly from our reporting system and are based on the methods of internal reporting which are not necessarily in conformity with GAAP. Management measures net revenue and gross profit to evaluate the performance of, and allocate resources to, each of the segments.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table below summarizes the financial information for each reportable segment: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2280" w:type="dxa"/>
            <w:vAlign w:val="bottom"/>
            <w:gridSpan w:val="6"/>
          </w:tcPr>
          <w:p>
            <w:pPr>
              <w:ind w:left="2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8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8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r>
      <w:tr>
        <w:trPr>
          <w:trHeight w:val="156"/>
        </w:trPr>
        <w:tc>
          <w:tcPr>
            <w:tcW w:w="5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revenue</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Gaming and Creator Peripherals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161,555</w:t>
            </w:r>
          </w:p>
        </w:tc>
        <w:tc>
          <w:tcPr>
            <w:tcW w:w="24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70,606</w:t>
            </w:r>
          </w:p>
        </w:tc>
        <w:tc>
          <w:tcPr>
            <w:tcW w:w="24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347,531</w:t>
            </w:r>
          </w:p>
        </w:tc>
        <w:tc>
          <w:tcPr>
            <w:tcW w:w="240" w:type="dxa"/>
            <w:vAlign w:val="bottom"/>
          </w:tcPr>
          <w:p>
            <w:pPr>
              <w:spacing w:after="0"/>
              <w:rPr>
                <w:sz w:val="19"/>
                <w:szCs w:val="19"/>
                <w:color w:val="auto"/>
              </w:rPr>
            </w:pPr>
          </w:p>
        </w:tc>
        <w:tc>
          <w:tcPr>
            <w:tcW w:w="380" w:type="dxa"/>
            <w:vAlign w:val="bottom"/>
            <w:gridSpan w:val="2"/>
          </w:tcPr>
          <w:p>
            <w:pPr>
              <w:jc w:val="right"/>
              <w:ind w:right="207"/>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200,084</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Gaming Components and Systems</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295,548</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213,766</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798,497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570,535</w:t>
            </w:r>
          </w:p>
        </w:tc>
        <w:tc>
          <w:tcPr>
            <w:tcW w:w="100" w:type="dxa"/>
            <w:vAlign w:val="bottom"/>
            <w:shd w:val="clear" w:color="auto" w:fill="CFF0FC"/>
          </w:tcPr>
          <w:p>
            <w:pPr>
              <w:spacing w:after="0"/>
              <w:rPr>
                <w:sz w:val="19"/>
                <w:szCs w:val="19"/>
                <w:color w:val="auto"/>
              </w:rPr>
            </w:pPr>
          </w:p>
        </w:tc>
      </w:tr>
      <w:tr>
        <w:trPr>
          <w:trHeight w:val="263"/>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net revenue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457,103</w:t>
            </w:r>
          </w:p>
        </w:tc>
        <w:tc>
          <w:tcPr>
            <w:tcW w:w="24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284,372</w:t>
            </w:r>
          </w:p>
        </w:tc>
        <w:tc>
          <w:tcPr>
            <w:tcW w:w="24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1,146,028</w:t>
            </w:r>
          </w:p>
        </w:tc>
        <w:tc>
          <w:tcPr>
            <w:tcW w:w="2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770,619</w:t>
            </w:r>
          </w:p>
        </w:tc>
        <w:tc>
          <w:tcPr>
            <w:tcW w:w="100" w:type="dxa"/>
            <w:vAlign w:val="bottom"/>
            <w:tcBorders>
              <w:bottom w:val="single" w:sz="8" w:color="CFF0FC"/>
            </w:tcBorders>
          </w:tcPr>
          <w:p>
            <w:pPr>
              <w:spacing w:after="0"/>
              <w:rPr>
                <w:sz w:val="22"/>
                <w:szCs w:val="22"/>
                <w:color w:val="auto"/>
              </w:rPr>
            </w:pPr>
          </w:p>
        </w:tc>
      </w:tr>
      <w:tr>
        <w:trPr>
          <w:trHeight w:val="210"/>
        </w:trPr>
        <w:tc>
          <w:tcPr>
            <w:tcW w:w="5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Gross Profit</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Gaming and Creator Peripherals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60,010</w:t>
            </w:r>
          </w:p>
        </w:tc>
        <w:tc>
          <w:tcPr>
            <w:tcW w:w="24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19,948</w:t>
            </w:r>
          </w:p>
        </w:tc>
        <w:tc>
          <w:tcPr>
            <w:tcW w:w="24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120,886</w:t>
            </w:r>
          </w:p>
        </w:tc>
        <w:tc>
          <w:tcPr>
            <w:tcW w:w="240" w:type="dxa"/>
            <w:vAlign w:val="bottom"/>
          </w:tcPr>
          <w:p>
            <w:pPr>
              <w:spacing w:after="0"/>
              <w:rPr>
                <w:sz w:val="19"/>
                <w:szCs w:val="19"/>
                <w:color w:val="auto"/>
              </w:rPr>
            </w:pPr>
          </w:p>
        </w:tc>
        <w:tc>
          <w:tcPr>
            <w:tcW w:w="380" w:type="dxa"/>
            <w:vAlign w:val="bottom"/>
            <w:gridSpan w:val="2"/>
          </w:tcPr>
          <w:p>
            <w:pPr>
              <w:jc w:val="right"/>
              <w:ind w:right="207"/>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58,234</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Gaming Components and Systems</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67,934</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40,279</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190,744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95,600</w:t>
            </w:r>
          </w:p>
        </w:tc>
        <w:tc>
          <w:tcPr>
            <w:tcW w:w="100" w:type="dxa"/>
            <w:vAlign w:val="bottom"/>
            <w:shd w:val="clear" w:color="auto" w:fill="CFF0FC"/>
          </w:tcPr>
          <w:p>
            <w:pPr>
              <w:spacing w:after="0"/>
              <w:rPr>
                <w:sz w:val="19"/>
                <w:szCs w:val="19"/>
                <w:color w:val="auto"/>
              </w:rPr>
            </w:pPr>
          </w:p>
        </w:tc>
      </w:tr>
      <w:tr>
        <w:trPr>
          <w:trHeight w:val="223"/>
        </w:trPr>
        <w:tc>
          <w:tcPr>
            <w:tcW w:w="5840" w:type="dxa"/>
            <w:vAlign w:val="bottom"/>
          </w:tcPr>
          <w:p>
            <w:pPr>
              <w:ind w:left="260"/>
              <w:spacing w:after="0"/>
              <w:rPr>
                <w:sz w:val="20"/>
                <w:szCs w:val="20"/>
                <w:color w:val="auto"/>
              </w:rPr>
            </w:pPr>
            <w:r>
              <w:rPr>
                <w:rFonts w:ascii="Arial" w:cs="Arial" w:eastAsia="Arial" w:hAnsi="Arial"/>
                <w:sz w:val="18"/>
                <w:szCs w:val="18"/>
                <w:color w:val="auto"/>
              </w:rPr>
              <w:t>Total gross profit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127,944</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60,227</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311,630</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153,834</w:t>
            </w:r>
          </w:p>
        </w:tc>
        <w:tc>
          <w:tcPr>
            <w:tcW w:w="10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The CODM manages assets on a total company basis, not by operating segments; therefore, asset information and capital expenditures by operating segments are not presented.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net revenue by geographic region based on the location of the customer:</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2280" w:type="dxa"/>
            <w:vAlign w:val="bottom"/>
            <w:gridSpan w:val="5"/>
          </w:tcPr>
          <w:p>
            <w:pPr>
              <w:ind w:left="2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8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8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r>
      <w:tr>
        <w:trPr>
          <w:trHeight w:val="156"/>
        </w:trPr>
        <w:tc>
          <w:tcPr>
            <w:tcW w:w="5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revenue</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Americas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216,982</w:t>
            </w:r>
          </w:p>
        </w:tc>
        <w:tc>
          <w:tcPr>
            <w:tcW w:w="24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108,318</w:t>
            </w:r>
          </w:p>
        </w:tc>
        <w:tc>
          <w:tcPr>
            <w:tcW w:w="24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517,165</w:t>
            </w:r>
          </w:p>
        </w:tc>
        <w:tc>
          <w:tcPr>
            <w:tcW w:w="6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315,200</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Europe and Middle East</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162,615</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114,118</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412,349</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287,502</w:t>
            </w: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Asia Pacific</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77,506</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61,936</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216,514</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167,917</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net revenue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457,103</w:t>
            </w:r>
          </w:p>
        </w:tc>
        <w:tc>
          <w:tcPr>
            <w:tcW w:w="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284,372</w:t>
            </w:r>
          </w:p>
        </w:tc>
        <w:tc>
          <w:tcPr>
            <w:tcW w:w="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1,146,028</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770,619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other countries besides United States represented 10% or more of total net revenue for each of the periods presented.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One customer represented at least 10% of total net revenue for each of the periods presented.</w:t>
      </w:r>
    </w:p>
    <w:p>
      <w:pPr>
        <w:spacing w:after="0" w:line="26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Long-lived assets are comprised primarily of property and equipment, net. The following table summarizes property and equipment, net by country:</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14"/>
                <w:szCs w:val="14"/>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155"/>
        </w:trPr>
        <w:tc>
          <w:tcPr>
            <w:tcW w:w="7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6,532</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6,400</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China</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5,039</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4,998</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Taiwan</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2,668</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2,270</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countries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w:t>
            </w: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1,697</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property and equipment, net</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15,404</w:t>
            </w:r>
          </w:p>
        </w:tc>
        <w:tc>
          <w:tcPr>
            <w:tcW w:w="2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15,365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Leases</w:t>
      </w:r>
    </w:p>
    <w:p>
      <w:pPr>
        <w:spacing w:after="0" w:line="121"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Our lease portfolio consists primarily of real estate facilities under operating leases and we determine if an arrangement is or contains a lease at inception. ROU assets and lease liabilities are recognized at commencement based on the present value of the lease consideration in the contracts over the lease term. We apply the incremental borrowing rate in determining the present value of the lease consideration in the contracts, as most of our leases do not provide an implicit rate. Our incremental borrowing rate is the rate of interest we would have to pay on a collateralized basis to borrow an amount equal to the lease payments under similar terms. Because we generally do not borrow on a collateralized basis, we apply an estimate of what the collateralized credit rating would be as an input to deriving an appropriate incremental borrowing rate. Certain of our lease agreements include options to extend or renew the lease terms. Such options are excluded from the ROU assets and lease liabilities, unless they are reasonably certain to be exercised. Operating lease expense is recognized on a straight-line basis over the lease term.</w:t>
      </w:r>
    </w:p>
    <w:p>
      <w:pPr>
        <w:sectPr>
          <w:pgSz w:w="11900" w:h="16838" w:orient="portrait"/>
          <w:cols w:equalWidth="0" w:num="1">
            <w:col w:w="11240"/>
          </w:cols>
          <w:pgMar w:left="320" w:top="121" w:right="339"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180" w:firstLine="510"/>
        <w:spacing w:after="0" w:line="308" w:lineRule="auto"/>
        <w:rPr>
          <w:sz w:val="20"/>
          <w:szCs w:val="20"/>
          <w:color w:val="auto"/>
        </w:rPr>
      </w:pPr>
      <w:r>
        <w:rPr>
          <w:rFonts w:ascii="Arial" w:cs="Arial" w:eastAsia="Arial" w:hAnsi="Arial"/>
          <w:sz w:val="17"/>
          <w:szCs w:val="17"/>
          <w:color w:val="auto"/>
        </w:rPr>
        <w:t>Certain lease agreements contain variable lease payments, which primarily include variable costs for warehousing and distribution services related to our outsourced distribution hubs, and to a lesser extent, variable costs related to office common area maintenance charges.</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table below summarizes the components of lease expenses: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Three Months Ended</w:t>
            </w:r>
          </w:p>
        </w:tc>
        <w:tc>
          <w:tcPr>
            <w:tcW w:w="340" w:type="dxa"/>
            <w:vAlign w:val="bottom"/>
          </w:tcPr>
          <w:p>
            <w:pPr>
              <w:spacing w:after="0"/>
              <w:rPr>
                <w:sz w:val="14"/>
                <w:szCs w:val="14"/>
                <w:color w:val="auto"/>
              </w:rPr>
            </w:pPr>
          </w:p>
        </w:tc>
        <w:tc>
          <w:tcPr>
            <w:tcW w:w="17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Nine months ended</w:t>
            </w:r>
          </w:p>
        </w:tc>
      </w:tr>
      <w:tr>
        <w:trPr>
          <w:trHeight w:val="162"/>
        </w:trPr>
        <w:tc>
          <w:tcPr>
            <w:tcW w:w="6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September 30,</w:t>
            </w:r>
          </w:p>
        </w:tc>
        <w:tc>
          <w:tcPr>
            <w:tcW w:w="340" w:type="dxa"/>
            <w:vAlign w:val="bottom"/>
          </w:tcPr>
          <w:p>
            <w:pPr>
              <w:spacing w:after="0"/>
              <w:rPr>
                <w:sz w:val="14"/>
                <w:szCs w:val="14"/>
                <w:color w:val="auto"/>
              </w:rPr>
            </w:pPr>
          </w:p>
        </w:tc>
        <w:tc>
          <w:tcPr>
            <w:tcW w:w="17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September 30,</w:t>
            </w:r>
          </w:p>
        </w:tc>
      </w:tr>
      <w:tr>
        <w:trPr>
          <w:trHeight w:val="171"/>
        </w:trPr>
        <w:tc>
          <w:tcPr>
            <w:tcW w:w="69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89"/>
              </w:rPr>
              <w:t>2020</w:t>
            </w:r>
          </w:p>
        </w:tc>
        <w:tc>
          <w:tcPr>
            <w:tcW w:w="3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center"/>
              <w:ind w:right="279"/>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4"/>
                <w:szCs w:val="14"/>
                <w:color w:val="auto"/>
              </w:rPr>
            </w:pPr>
          </w:p>
        </w:tc>
      </w:tr>
      <w:tr>
        <w:trPr>
          <w:trHeight w:val="156"/>
        </w:trPr>
        <w:tc>
          <w:tcPr>
            <w:tcW w:w="6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9"/>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expense</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2,739</w:t>
            </w: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6,932</w:t>
            </w:r>
          </w:p>
        </w:tc>
        <w:tc>
          <w:tcPr>
            <w:tcW w:w="120" w:type="dxa"/>
            <w:vAlign w:val="bottom"/>
            <w:shd w:val="clear" w:color="auto" w:fill="CFF0FC"/>
          </w:tcPr>
          <w:p>
            <w:pPr>
              <w:spacing w:after="0"/>
              <w:rPr>
                <w:sz w:val="19"/>
                <w:szCs w:val="19"/>
                <w:color w:val="auto"/>
              </w:rPr>
            </w:pPr>
          </w:p>
        </w:tc>
      </w:tr>
      <w:tr>
        <w:trPr>
          <w:trHeight w:val="230"/>
        </w:trPr>
        <w:tc>
          <w:tcPr>
            <w:tcW w:w="6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Variable lease expense</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2,226</w:t>
            </w:r>
          </w:p>
        </w:tc>
        <w:tc>
          <w:tcPr>
            <w:tcW w:w="3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4,657</w:t>
            </w:r>
          </w:p>
        </w:tc>
        <w:tc>
          <w:tcPr>
            <w:tcW w:w="120" w:type="dxa"/>
            <w:vAlign w:val="bottom"/>
            <w:tcBorders>
              <w:bottom w:val="single" w:sz="8" w:color="CFF0FC"/>
            </w:tcBorders>
          </w:tcPr>
          <w:p>
            <w:pPr>
              <w:spacing w:after="0"/>
              <w:rPr>
                <w:sz w:val="19"/>
                <w:szCs w:val="19"/>
                <w:color w:val="auto"/>
              </w:rPr>
            </w:pPr>
          </w:p>
        </w:tc>
      </w:tr>
      <w:tr>
        <w:trPr>
          <w:trHeight w:val="223"/>
        </w:trPr>
        <w:tc>
          <w:tcPr>
            <w:tcW w:w="69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lease expense</w:t>
            </w: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4,965</w:t>
            </w:r>
          </w:p>
        </w:tc>
        <w:tc>
          <w:tcPr>
            <w:tcW w:w="3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11,589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During the three and nine months ended September 30, 2020, we made $2.6 million and $6.7 million, respectively, in payments for operating leases included within cash provided by operating activities in our condensed combined consolidated statement of cash flows.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of September 30, 2020, the weighted-average remaining lease term was 3.6 years and the weighed-average discount rate was 4.0%.</w:t>
      </w:r>
    </w:p>
    <w:p>
      <w:pPr>
        <w:spacing w:after="0" w:line="237"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Amounts of future undiscounted cash flows related to operating lease payments over the lease term included in the measurement of lease liabilities as of September 30, 2020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Amounts</w:t>
            </w:r>
          </w:p>
        </w:tc>
        <w:tc>
          <w:tcPr>
            <w:tcW w:w="0" w:type="dxa"/>
            <w:vAlign w:val="bottom"/>
          </w:tcPr>
          <w:p>
            <w:pPr>
              <w:spacing w:after="0"/>
              <w:rPr>
                <w:sz w:val="1"/>
                <w:szCs w:val="1"/>
                <w:color w:val="auto"/>
              </w:rPr>
            </w:pPr>
          </w:p>
        </w:tc>
      </w:tr>
      <w:tr>
        <w:trPr>
          <w:trHeight w:val="156"/>
        </w:trPr>
        <w:tc>
          <w:tcPr>
            <w:tcW w:w="630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780" w:type="dxa"/>
            <w:vAlign w:val="bottom"/>
            <w:tcBorders>
              <w:top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2020 (remaining three months)</w:t>
            </w:r>
          </w:p>
        </w:tc>
        <w:tc>
          <w:tcPr>
            <w:tcW w:w="30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2021</w:t>
            </w:r>
          </w:p>
        </w:tc>
        <w:tc>
          <w:tcPr>
            <w:tcW w:w="2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9,072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6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2023</w:t>
            </w:r>
          </w:p>
        </w:tc>
        <w:tc>
          <w:tcPr>
            <w:tcW w:w="2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5,172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6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6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future lease payments</w:t>
            </w:r>
          </w:p>
        </w:tc>
        <w:tc>
          <w:tcPr>
            <w:tcW w:w="26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60"/>
              <w:spacing w:after="0"/>
              <w:rPr>
                <w:sz w:val="20"/>
                <w:szCs w:val="20"/>
                <w:color w:val="auto"/>
              </w:rPr>
            </w:pPr>
            <w:r>
              <w:rPr>
                <w:rFonts w:ascii="Arial" w:cs="Arial" w:eastAsia="Arial" w:hAnsi="Arial"/>
                <w:sz w:val="18"/>
                <w:szCs w:val="18"/>
                <w:color w:val="auto"/>
              </w:rPr>
              <w:t>Less: Imputed interest</w:t>
            </w:r>
          </w:p>
        </w:tc>
        <w:tc>
          <w:tcPr>
            <w:tcW w:w="2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00" w:type="dxa"/>
            <w:vAlign w:val="bottom"/>
            <w:gridSpan w:val="2"/>
          </w:tcPr>
          <w:p>
            <w:pPr>
              <w:jc w:val="right"/>
              <w:ind w:right="60"/>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23"/>
        </w:trPr>
        <w:tc>
          <w:tcPr>
            <w:tcW w:w="63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Present value of operating lease liabilities</w:t>
            </w:r>
          </w:p>
        </w:tc>
        <w:tc>
          <w:tcPr>
            <w:tcW w:w="26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26,779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ind w:left="260"/>
              <w:spacing w:after="0"/>
              <w:rPr>
                <w:sz w:val="20"/>
                <w:szCs w:val="20"/>
                <w:color w:val="auto"/>
              </w:rPr>
            </w:pPr>
            <w:r>
              <w:rPr>
                <w:rFonts w:ascii="Arial" w:cs="Arial" w:eastAsia="Arial" w:hAnsi="Arial"/>
                <w:sz w:val="18"/>
                <w:szCs w:val="18"/>
                <w:color w:val="auto"/>
              </w:rPr>
              <w:t xml:space="preserve">Current portion of operating lease liabilities </w:t>
            </w:r>
            <w:r>
              <w:rPr>
                <w:rFonts w:ascii="Arial" w:cs="Arial" w:eastAsia="Arial" w:hAnsi="Arial"/>
                <w:sz w:val="15"/>
                <w:szCs w:val="15"/>
                <w:color w:val="auto"/>
              </w:rPr>
              <w:t>(1)</w:t>
            </w:r>
          </w:p>
        </w:tc>
        <w:tc>
          <w:tcPr>
            <w:tcW w:w="304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00" w:type="dxa"/>
            <w:vAlign w:val="bottom"/>
            <w:vMerge w:val="continue"/>
          </w:tcPr>
          <w:p>
            <w:pPr>
              <w:spacing w:after="0"/>
              <w:rPr>
                <w:sz w:val="18"/>
                <w:szCs w:val="18"/>
                <w:color w:val="auto"/>
              </w:rPr>
            </w:pPr>
          </w:p>
        </w:tc>
        <w:tc>
          <w:tcPr>
            <w:tcW w:w="2680" w:type="dxa"/>
            <w:vAlign w:val="bottom"/>
          </w:tcPr>
          <w:p>
            <w:pPr>
              <w:spacing w:after="0"/>
              <w:rPr>
                <w:sz w:val="18"/>
                <w:szCs w:val="18"/>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xml:space="preserve">Long-term operating lease liabilities </w:t>
            </w:r>
            <w:r>
              <w:rPr>
                <w:rFonts w:ascii="Arial" w:cs="Arial" w:eastAsia="Arial" w:hAnsi="Arial"/>
                <w:sz w:val="15"/>
                <w:szCs w:val="15"/>
                <w:color w:val="auto"/>
              </w:rPr>
              <w:t>(1)</w:t>
            </w:r>
          </w:p>
        </w:tc>
        <w:tc>
          <w:tcPr>
            <w:tcW w:w="30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500" w:right="320" w:hanging="492"/>
        <w:spacing w:after="0" w:line="253" w:lineRule="auto"/>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current portion and long-term portion of operating lease liabilities are included in “other liabilities and accrued expenses” and “other liabilities, noncurrent”, respectively, on our condensed combined consolidated balance sheets.</w:t>
      </w:r>
    </w:p>
    <w:p>
      <w:pPr>
        <w:spacing w:after="0" w:line="205"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Future minimum lease payments under non-cancelable operating leases as of December 31, 2019, as defined under the previous lease accounting guidance of ASC Topic 840,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2"/>
          </w:tcPr>
          <w:p>
            <w:pPr>
              <w:ind w:left="420"/>
              <w:spacing w:after="0"/>
              <w:rPr>
                <w:sz w:val="20"/>
                <w:szCs w:val="20"/>
                <w:color w:val="auto"/>
              </w:rPr>
            </w:pPr>
            <w:r>
              <w:rPr>
                <w:rFonts w:ascii="Arial" w:cs="Arial" w:eastAsia="Arial" w:hAnsi="Arial"/>
                <w:sz w:val="14"/>
                <w:szCs w:val="14"/>
                <w:b w:val="1"/>
                <w:bCs w:val="1"/>
                <w:color w:val="auto"/>
              </w:rPr>
              <w:t>Amounts</w:t>
            </w:r>
          </w:p>
        </w:tc>
      </w:tr>
      <w:tr>
        <w:trPr>
          <w:trHeight w:val="155"/>
        </w:trPr>
        <w:tc>
          <w:tcPr>
            <w:tcW w:w="488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780" w:type="dxa"/>
            <w:vAlign w:val="bottom"/>
            <w:tcBorders>
              <w:top w:val="single" w:sz="8" w:color="auto"/>
            </w:tcBorders>
          </w:tcPr>
          <w:p>
            <w:pPr>
              <w:jc w:val="right"/>
              <w:ind w:right="534"/>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r>
      <w:tr>
        <w:trPr>
          <w:trHeight w:val="229"/>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44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7,525</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2021</w:t>
            </w:r>
          </w:p>
        </w:tc>
        <w:tc>
          <w:tcPr>
            <w:tcW w:w="4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5,786</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4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2,701</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2023</w:t>
            </w:r>
          </w:p>
        </w:tc>
        <w:tc>
          <w:tcPr>
            <w:tcW w:w="4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1,584</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4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w:t>
            </w:r>
          </w:p>
        </w:tc>
        <w:tc>
          <w:tcPr>
            <w:tcW w:w="120" w:type="dxa"/>
            <w:vAlign w:val="bottom"/>
            <w:shd w:val="clear" w:color="auto" w:fill="CFF0FC"/>
          </w:tcPr>
          <w:p>
            <w:pPr>
              <w:spacing w:after="0"/>
              <w:rPr>
                <w:sz w:val="19"/>
                <w:szCs w:val="19"/>
                <w:color w:val="auto"/>
              </w:rPr>
            </w:pPr>
          </w:p>
        </w:tc>
      </w:tr>
      <w:tr>
        <w:trPr>
          <w:trHeight w:val="229"/>
        </w:trPr>
        <w:tc>
          <w:tcPr>
            <w:tcW w:w="4880" w:type="dxa"/>
            <w:vAlign w:val="bottom"/>
          </w:tcPr>
          <w:p>
            <w:pPr>
              <w:spacing w:after="0"/>
              <w:rPr>
                <w:sz w:val="20"/>
                <w:szCs w:val="20"/>
                <w:color w:val="auto"/>
              </w:rPr>
            </w:pPr>
            <w:r>
              <w:rPr>
                <w:rFonts w:ascii="Arial" w:cs="Arial" w:eastAsia="Arial" w:hAnsi="Arial"/>
                <w:sz w:val="18"/>
                <w:szCs w:val="18"/>
                <w:color w:val="auto"/>
              </w:rPr>
              <w:t>Thereafter</w:t>
            </w:r>
          </w:p>
        </w:tc>
        <w:tc>
          <w:tcPr>
            <w:tcW w:w="4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48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41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18,621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238"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condensed combined consolidated financial statements and related notes included elsewhere in this Quarterly Report on Form 10-Q. This discussion contains forward-looking statements based upon current expectations that involve risks and uncertainties. Our actual results may differ materially from those anticipated in these forward-looking statements as a result of various factors, including those discussed in the section titled “Risk Factors” and in other parts of this Quarterly Report on Form 10-Q.</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0" w:firstLine="510"/>
        <w:spacing w:after="0" w:line="273" w:lineRule="auto"/>
        <w:rPr>
          <w:sz w:val="20"/>
          <w:szCs w:val="20"/>
          <w:color w:val="auto"/>
        </w:rPr>
      </w:pPr>
      <w:r>
        <w:rPr>
          <w:rFonts w:ascii="Arial" w:cs="Arial" w:eastAsia="Arial" w:hAnsi="Arial"/>
          <w:sz w:val="17"/>
          <w:szCs w:val="17"/>
          <w:color w:val="auto"/>
        </w:rPr>
        <w:t>We are a leading global provider and innovator of high-performance gear for gamers, streamers and content creators. We design industry-leading gaming gear that helps digital athletes, from casual gamers to committed professionals, to perform at their peak across PC or console platforms, and streaming gear that enables creators to produce studio-quality content to share with friends or to broadcast to millions of fans. Our solution is a complete suite of gear that addresses the most critical components for both game performance and streaming. Our product offering is enhanced by our two proprietary software platforms: iCUE for gamers and Elgato branded streaming suite for content creators. These software platforms provide unified, intuitive performance, and aesthetic control and customization across their respective product families.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group our gear into two categories (operating segments):</w:t>
      </w:r>
    </w:p>
    <w:p>
      <w:pPr>
        <w:spacing w:after="0" w:line="131" w:lineRule="exact"/>
        <w:rPr>
          <w:sz w:val="20"/>
          <w:szCs w:val="20"/>
          <w:color w:val="auto"/>
        </w:rPr>
      </w:pPr>
    </w:p>
    <w:p>
      <w:pPr>
        <w:ind w:left="1000" w:right="120" w:hanging="49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Gamer and creator peripherals. </w:t>
      </w:r>
      <w:r>
        <w:rPr>
          <w:rFonts w:ascii="Arial" w:cs="Arial" w:eastAsia="Arial" w:hAnsi="Arial"/>
          <w:sz w:val="18"/>
          <w:szCs w:val="18"/>
          <w:color w:val="auto"/>
        </w:rPr>
        <w:t>Includes our high-performance gaming keyboards, mice, headsets and controllers, as well as our streaming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gear including capture cards, studio accessories, and microphones, among others.</w:t>
      </w:r>
    </w:p>
    <w:p>
      <w:pPr>
        <w:spacing w:after="0" w:line="75" w:lineRule="exact"/>
        <w:rPr>
          <w:rFonts w:ascii="Arial" w:cs="Arial" w:eastAsia="Arial" w:hAnsi="Arial"/>
          <w:sz w:val="18"/>
          <w:szCs w:val="18"/>
          <w:color w:val="auto"/>
        </w:rPr>
      </w:pPr>
    </w:p>
    <w:p>
      <w:pPr>
        <w:ind w:left="1000" w:right="440" w:hanging="49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Gaming components and systems. </w:t>
      </w:r>
      <w:r>
        <w:rPr>
          <w:rFonts w:ascii="Arial" w:cs="Arial" w:eastAsia="Arial" w:hAnsi="Arial"/>
          <w:sz w:val="18"/>
          <w:szCs w:val="18"/>
          <w:color w:val="auto"/>
        </w:rPr>
        <w:t>Includes our high-performance power supply units, or PSUs, cooling solutions, computer cases,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DRAM modules, as well as high-end prebuilt and custom-built gaming PCs, among others.</w:t>
      </w:r>
    </w:p>
    <w:p>
      <w:pPr>
        <w:spacing w:after="0" w:line="170" w:lineRule="exact"/>
        <w:rPr>
          <w:sz w:val="20"/>
          <w:szCs w:val="20"/>
          <w:color w:val="auto"/>
        </w:rPr>
      </w:pPr>
    </w:p>
    <w:p>
      <w:pPr>
        <w:ind w:right="160" w:firstLine="510"/>
        <w:spacing w:after="0" w:line="275" w:lineRule="auto"/>
        <w:rPr>
          <w:sz w:val="20"/>
          <w:szCs w:val="20"/>
          <w:color w:val="auto"/>
        </w:rPr>
      </w:pPr>
      <w:r>
        <w:rPr>
          <w:rFonts w:ascii="Arial" w:cs="Arial" w:eastAsia="Arial" w:hAnsi="Arial"/>
          <w:sz w:val="17"/>
          <w:szCs w:val="17"/>
          <w:color w:val="auto"/>
        </w:rPr>
        <w:t>Our gear is sold to gaming enthusiasts worldwide through either our retail channel or our direct-to-consumer channel. In our retail channel, we distribute our gear either directly to the retailer, such as Amazon and Best Buy, or through key distributors. While we historically have sold a small percentage of our gear directly to consumers through our website, following the SCUF Acquisition and the Origin Acquisition in 2019, the volume of direct-to-consumer sales has increased as both of these companies primarily generated sales through direct-to-consumer channels. We expect net revenue from our direct-to-consumer channel to increase as a percentage of total net revenue in future periods.</w:t>
      </w:r>
    </w:p>
    <w:p>
      <w:pPr>
        <w:spacing w:after="0" w:line="176"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From time to time, we may seek to partner with or, when appropriate, acquire companies that have products, personnel, and technologies that complement our strategic direction. In July 2019, we acquired Origin PC Corporation, a company based in Florida, specializing in delivering hand-built, personalized high-end gaming PCs and in December 2019, we acquired SCUF Holdings, Inc. and its subsidiaries. SCUF, headquartered in Georgia, specializes in delivering superior accessories and customized gaming controllers for gaming consoles and PCs that are used by top professional gamers as well as competitive amateur gamers. The addition of Origin’s and SCUF’s products enhances and expands our product offering to PC and console gamers, respectively. See Note 5 of the Notes to our condensed combined consolidated financial statements for additional information. Origin is part of our gaming components and systems segment and its results of operations are included in our condensed combined consolidated statements of operations beginning July 22, 2019. SCUF is now part of our gamer and creator peripherals segment and its results of operations are included in our condensed combined consolidated statements of operations beginning December 19, 2019.</w:t>
      </w:r>
    </w:p>
    <w:p>
      <w:pPr>
        <w:spacing w:after="0" w:line="181"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Our net revenue was $457.1 million and $284.4 million for the three months ended September 30, 2020 and 2019, respectively, representing a period-over-period increase of 61%. We had net income of $36.4 million and $1.5 million for the three months ended September 30, 2020 and 2019, respectively. Our net revenue was $1.1 billion and $770.6 million for the nine months ended September 30, 2020 and 2019, respectively, representing a period-over-period increase of 49%. We had net income of $60.2 million for the nine months ended September 30, 2020 and we had $14.4 million net loss for the nine months ended September 30, 2019.</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On September 22, 2020, we priced the initial public offering of our common stock pursuant to a registration statement that was declared effective by the SEC, or the IPO, and our common stock began trading on the Nasdaq Global Select Market under the symbol “CRSR” the next day. On September 25, 2020, we closed our IPO.</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In connection with the IPO, we sold 7,500,000 shares of common stock at $17.00 per share, resulting in proceeds of $118.6 million, net of the underwriting discounts and commissions and before offering costs. In connection with the IPO, certain stockholders sold 6,500,000 shares of common stock at $17.00 per share. Subsequent to the IPO, certain stockholders further sold 1,135,375 shares pursuant to the underwriters’ exercise of their option to purchase additional shares. We did not receive any of the proceeds from the sale of shares by the selling stockholders.</w:t>
      </w:r>
    </w:p>
    <w:p>
      <w:pPr>
        <w:spacing w:after="0" w:line="171"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In September 2020, we used a portion of the net proceeds from the IPO to repay $86.6 million, in aggregate, of the principal amount of our First Lien Term Loan and $0.4 million of related accrued interest.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Business</w:t>
      </w:r>
    </w:p>
    <w:p>
      <w:pPr>
        <w:spacing w:after="0" w:line="121"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Our results of operations and financial condition are affected by numerous factors, including those discussed in the section titled “Risk Factors” in Part II, Item 1A of this Quarterly Report on Form 10-Q and those described below.</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i w:val="1"/>
          <w:iCs w:val="1"/>
          <w:color w:val="auto"/>
        </w:rPr>
        <w:t>Impact of Industry Trends</w:t>
      </w:r>
      <w:r>
        <w:rPr>
          <w:rFonts w:ascii="Arial" w:cs="Arial" w:eastAsia="Arial" w:hAnsi="Arial"/>
          <w:sz w:val="17"/>
          <w:szCs w:val="17"/>
          <w:color w:val="auto"/>
        </w:rPr>
        <w:t>. Our results of operations and financial condition are impacted by industry trends in the gaming market, including:</w:t>
      </w:r>
    </w:p>
    <w:p>
      <w:pPr>
        <w:spacing w:after="0" w:line="129" w:lineRule="exact"/>
        <w:rPr>
          <w:sz w:val="20"/>
          <w:szCs w:val="20"/>
          <w:color w:val="auto"/>
        </w:rPr>
      </w:pPr>
    </w:p>
    <w:p>
      <w:pPr>
        <w:ind w:left="1000" w:right="60" w:hanging="493"/>
        <w:spacing w:after="0" w:line="301" w:lineRule="auto"/>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Increasing gaming engagement</w:t>
      </w:r>
      <w:r>
        <w:rPr>
          <w:rFonts w:ascii="Arial" w:cs="Arial" w:eastAsia="Arial" w:hAnsi="Arial"/>
          <w:sz w:val="16"/>
          <w:szCs w:val="16"/>
          <w:color w:val="auto"/>
        </w:rPr>
        <w:t>. We believe that gaming’s increasing time share of global entertainment consumption will drive continued</w:t>
      </w:r>
      <w:r>
        <w:rPr>
          <w:rFonts w:ascii="Arial" w:cs="Arial" w:eastAsia="Arial" w:hAnsi="Arial"/>
          <w:sz w:val="16"/>
          <w:szCs w:val="16"/>
          <w:i w:val="1"/>
          <w:iCs w:val="1"/>
          <w:color w:val="auto"/>
        </w:rPr>
        <w:t xml:space="preserve"> </w:t>
      </w:r>
      <w:r>
        <w:rPr>
          <w:rFonts w:ascii="Arial" w:cs="Arial" w:eastAsia="Arial" w:hAnsi="Arial"/>
          <w:sz w:val="16"/>
          <w:szCs w:val="16"/>
          <w:color w:val="auto"/>
        </w:rPr>
        <w:t>growth in spending on both games and gaming gear. Gaming continues to become increasingly social and streaming viewership more widely adopted along with increasing numbers of content creators. We believe this trend, which has accelerated in the current environment, will continue and Corsair is well positioned to serve the streaming market with best-in-class tools for content creation.</w:t>
      </w:r>
    </w:p>
    <w:p>
      <w:pPr>
        <w:spacing w:after="0" w:line="49" w:lineRule="exact"/>
        <w:rPr>
          <w:rFonts w:ascii="Arial" w:cs="Arial" w:eastAsia="Arial" w:hAnsi="Arial"/>
          <w:sz w:val="16"/>
          <w:szCs w:val="16"/>
          <w:color w:val="auto"/>
        </w:rPr>
      </w:pPr>
    </w:p>
    <w:p>
      <w:pPr>
        <w:ind w:left="1000" w:hanging="493"/>
        <w:spacing w:after="0" w:line="289" w:lineRule="auto"/>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Introduction of new high-performance computing hardware and sophisticated games</w:t>
      </w:r>
      <w:r>
        <w:rPr>
          <w:rFonts w:ascii="Arial" w:cs="Arial" w:eastAsia="Arial" w:hAnsi="Arial"/>
          <w:sz w:val="16"/>
          <w:szCs w:val="16"/>
          <w:color w:val="auto"/>
        </w:rPr>
        <w:t>. We believe that the introduction of more powerful</w:t>
      </w:r>
      <w:r>
        <w:rPr>
          <w:rFonts w:ascii="Arial" w:cs="Arial" w:eastAsia="Arial" w:hAnsi="Arial"/>
          <w:sz w:val="16"/>
          <w:szCs w:val="16"/>
          <w:i w:val="1"/>
          <w:iCs w:val="1"/>
          <w:color w:val="auto"/>
        </w:rPr>
        <w:t xml:space="preserve"> </w:t>
      </w:r>
      <w:r>
        <w:rPr>
          <w:rFonts w:ascii="Arial" w:cs="Arial" w:eastAsia="Arial" w:hAnsi="Arial"/>
          <w:sz w:val="16"/>
          <w:szCs w:val="16"/>
          <w:color w:val="auto"/>
        </w:rPr>
        <w:t>CPUs and GPUs that place increased demands on other system components, such as memory, power supply or cooling, has a significant effect on increasing the demand for our gear. In addition, we believe that our business success depends in part on the introduction and success of games with sophisticated graphics that place increasing demands on system processing speed and capacity and therefore require more powerful CPUs or GPUs, which in turn drives demand for our high-performance gaming components and systems, such as PSUs and cooling solutions, and our gaming PC memory. As a result, our operating results may be materially affected by the timing of, and the rate at which computer hardware companies introduce, new and enhanced CPUs and GPUs, the timing of, and rate at which computer game companies and developers introduce, sophisticated new and improved games that require increasingly high levels of system and graphics processing power, and whether these new products and games are widely accepted by gamers.</w:t>
      </w:r>
    </w:p>
    <w:p>
      <w:pPr>
        <w:spacing w:after="0" w:line="166"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b w:val="1"/>
          <w:bCs w:val="1"/>
          <w:i w:val="1"/>
          <w:iCs w:val="1"/>
          <w:color w:val="auto"/>
        </w:rPr>
        <w:t>Impact of Product Mix</w:t>
      </w:r>
      <w:r>
        <w:rPr>
          <w:rFonts w:ascii="Arial" w:cs="Arial" w:eastAsia="Arial" w:hAnsi="Arial"/>
          <w:sz w:val="18"/>
          <w:szCs w:val="18"/>
          <w:color w:val="auto"/>
        </w:rPr>
        <w:t>. Our gamer and creator peripherals segment has a higher gross margin than our gaming components and systems segment.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a result, our overall gross margin is affected by changes in product mix. External factors can have an impact on our product mix, such as popular game releases that can increase sales of peripherals and availability of new CPUs and GPUs that can impact component sales. In addition, within our gamer and creator peripherals and gaming components and systems segments, gross margin varies between products, and significant shifts in product mix within either segment may also significantly impact our overall gross margin.</w:t>
      </w:r>
    </w:p>
    <w:p>
      <w:pPr>
        <w:spacing w:after="0" w:line="188" w:lineRule="exact"/>
        <w:rPr>
          <w:sz w:val="20"/>
          <w:szCs w:val="20"/>
          <w:color w:val="auto"/>
        </w:rPr>
      </w:pPr>
    </w:p>
    <w:p>
      <w:pPr>
        <w:ind w:right="220" w:firstLine="510"/>
        <w:spacing w:after="0" w:line="291" w:lineRule="auto"/>
        <w:rPr>
          <w:sz w:val="20"/>
          <w:szCs w:val="20"/>
          <w:color w:val="auto"/>
        </w:rPr>
      </w:pPr>
      <w:r>
        <w:rPr>
          <w:rFonts w:ascii="Arial" w:cs="Arial" w:eastAsia="Arial" w:hAnsi="Arial"/>
          <w:sz w:val="16"/>
          <w:szCs w:val="16"/>
          <w:b w:val="1"/>
          <w:bCs w:val="1"/>
          <w:i w:val="1"/>
          <w:iCs w:val="1"/>
          <w:color w:val="auto"/>
        </w:rPr>
        <w:t>Impact of Customer Concentration</w:t>
      </w:r>
      <w:r>
        <w:rPr>
          <w:rFonts w:ascii="Arial" w:cs="Arial" w:eastAsia="Arial" w:hAnsi="Arial"/>
          <w:sz w:val="16"/>
          <w:szCs w:val="16"/>
          <w:color w:val="auto"/>
        </w:rPr>
        <w:t>. We operate a global sales network that consists primarily of retailers, as well as distributors we use to access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certain retailers. Further, a limited number of retailers and distributors represent a significant portion of our net revenue, with Amazon accounting for</w:t>
      </w:r>
    </w:p>
    <w:p>
      <w:pPr>
        <w:ind w:right="100"/>
        <w:spacing w:after="0" w:line="287" w:lineRule="auto"/>
        <w:rPr>
          <w:sz w:val="20"/>
          <w:szCs w:val="20"/>
          <w:color w:val="auto"/>
        </w:rPr>
      </w:pPr>
      <w:r>
        <w:rPr>
          <w:rFonts w:ascii="Arial" w:cs="Arial" w:eastAsia="Arial" w:hAnsi="Arial"/>
          <w:sz w:val="16"/>
          <w:szCs w:val="16"/>
          <w:color w:val="auto"/>
        </w:rPr>
        <w:t>22.4% and 25.1% of our net revenue for the three months and nine months ended September 30, 2020, respectively, and sales to our ten largest customers accounting for approximately 49.0% and 51.2% of our net revenue for the same periods, respectively. Our customers typically do not enter into long-term agreements to purchase our gear but instead enter into purchase orders with us. As a result of this concentration and the lack of long-term agreements with our customers, a primary driver of our net revenue and operating performance is maintaining good relationships with these retailers and distributors. To help maintain good relationships, we implement initiatives such as our updated packaging design which helps Amazon process our packages more efficiently. Further, given our global operations, a significant percentage of our expenses relate to shipping costs. Our ability to effectively optimize these shipping expenses, for example utilizing expensive shipping options such as air freight for smaller packages and more urgent deliveries and more cost-efficient options, such as train or boat, for other shipments, has an impact on our expenses and results of operations.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b w:val="1"/>
          <w:bCs w:val="1"/>
          <w:i w:val="1"/>
          <w:iCs w:val="1"/>
          <w:color w:val="auto"/>
        </w:rPr>
        <w:t>Impact of New Product Introductions</w:t>
      </w:r>
      <w:r>
        <w:rPr>
          <w:rFonts w:ascii="Arial" w:cs="Arial" w:eastAsia="Arial" w:hAnsi="Arial"/>
          <w:sz w:val="18"/>
          <w:szCs w:val="18"/>
          <w:color w:val="auto"/>
        </w:rPr>
        <w:t>. Gamers demand new technology and product features, and we expect our ability to accurately anticipate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meet these demands will be one of the main drivers for any future sales growth and market share expansion. To date, we have had several new product introductions that had a favorable impact on our net revenue and operating results, such as the introduction of our new high-end wireless headset in 2019, Virtuoso. However, we cannot assure you that our new product introductions will have a favorable impact on our operating results or that customers will choose our new gear over those of our competitors.</w:t>
      </w:r>
    </w:p>
    <w:p>
      <w:pPr>
        <w:spacing w:after="0" w:line="188" w:lineRule="exact"/>
        <w:rPr>
          <w:sz w:val="20"/>
          <w:szCs w:val="20"/>
          <w:color w:val="auto"/>
        </w:rPr>
      </w:pPr>
    </w:p>
    <w:p>
      <w:pPr>
        <w:ind w:right="20" w:firstLine="510"/>
        <w:spacing w:after="0" w:line="274" w:lineRule="auto"/>
        <w:rPr>
          <w:sz w:val="20"/>
          <w:szCs w:val="20"/>
          <w:color w:val="auto"/>
        </w:rPr>
      </w:pPr>
      <w:r>
        <w:rPr>
          <w:rFonts w:ascii="Arial" w:cs="Arial" w:eastAsia="Arial" w:hAnsi="Arial"/>
          <w:sz w:val="17"/>
          <w:szCs w:val="17"/>
          <w:b w:val="1"/>
          <w:bCs w:val="1"/>
          <w:i w:val="1"/>
          <w:iCs w:val="1"/>
          <w:color w:val="auto"/>
        </w:rPr>
        <w:t xml:space="preserve">Impact of Seasonal Sales Trends. </w:t>
      </w:r>
      <w:r>
        <w:rPr>
          <w:rFonts w:ascii="Arial" w:cs="Arial" w:eastAsia="Arial" w:hAnsi="Arial"/>
          <w:sz w:val="17"/>
          <w:szCs w:val="17"/>
          <w:color w:val="auto"/>
        </w:rPr>
        <w:t>We have experienced and expect to continue to experience seasonal fluctuations in sales due to the buying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patterns of our customers and spending patterns of gamers. Our net revenue has generally been lowest in the first and second calendar quarters due to lower consumer demand following the fourth quarter holiday season and because of the decline in sales that typically occurs in anticipation of the introduction of new or enhanced CPUs, GPUs, and other computer hardware products, which usually take place in the second calendar quarter and which tend to drive sales in the following two quarters. Further, our net revenue tends to be higher in the third and fourth calendar quarter due to seasonal sales such as “Black Friday,” “Cyber Monday” and “Singles Day” in China, as retailers tend to make purchases in advance of these sales, and our sales also tend to be higher in the fourth quarter due to the introduction of new consoles and high-profile games in connection with the holiday season. As a consequence of seasonality, our net revenue for the second calendar quarter is generally the lowest of the year followed by the first calendar quarter. We expect these seasonality trends to continue.</w:t>
      </w:r>
    </w:p>
    <w:p>
      <w:pPr>
        <w:spacing w:after="0" w:line="179"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b w:val="1"/>
          <w:bCs w:val="1"/>
          <w:i w:val="1"/>
          <w:iCs w:val="1"/>
          <w:color w:val="auto"/>
        </w:rPr>
        <w:t>Impact of Fluctuations in Currency Exchange Rates</w:t>
      </w:r>
      <w:r>
        <w:rPr>
          <w:rFonts w:ascii="Arial" w:cs="Arial" w:eastAsia="Arial" w:hAnsi="Arial"/>
          <w:sz w:val="17"/>
          <w:szCs w:val="17"/>
          <w:color w:val="auto"/>
        </w:rPr>
        <w:t>. We are subject to inherent risks attributed to operating in a global economy. Some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international sales are denominated in foreign currencies and any unfavorable movement in the exchange rate between U.S. dollars and the currencies in which we conduct sales in foreign countries, in particular the Euro and the British Pound could have an adverse impact on our net revenue. In addition, we generally pay our employees located outside the United States in the local currency, with a significant portion of those payments being made in Taiwan dollars and Euros. Additionally, as a result of our foreign sales and operations, we have other expenses, assets and liabilities that are denominated in foreign currencies, in particular the Chinese Yuan, Euro and British Pound.</w:t>
      </w:r>
    </w:p>
    <w:p>
      <w:pPr>
        <w:spacing w:after="0" w:line="178" w:lineRule="exact"/>
        <w:rPr>
          <w:sz w:val="20"/>
          <w:szCs w:val="20"/>
          <w:color w:val="auto"/>
        </w:rPr>
      </w:pPr>
    </w:p>
    <w:p>
      <w:pPr>
        <w:jc w:val="both"/>
        <w:ind w:right="20" w:firstLine="510"/>
        <w:spacing w:after="0" w:line="286" w:lineRule="auto"/>
        <w:rPr>
          <w:sz w:val="20"/>
          <w:szCs w:val="20"/>
          <w:color w:val="auto"/>
        </w:rPr>
      </w:pPr>
      <w:r>
        <w:rPr>
          <w:rFonts w:ascii="Arial" w:cs="Arial" w:eastAsia="Arial" w:hAnsi="Arial"/>
          <w:sz w:val="17"/>
          <w:szCs w:val="17"/>
          <w:b w:val="1"/>
          <w:bCs w:val="1"/>
          <w:i w:val="1"/>
          <w:iCs w:val="1"/>
          <w:color w:val="auto"/>
        </w:rPr>
        <w:t xml:space="preserve">Impact of COVID-19. </w:t>
      </w:r>
      <w:r>
        <w:rPr>
          <w:rFonts w:ascii="Arial" w:cs="Arial" w:eastAsia="Arial" w:hAnsi="Arial"/>
          <w:sz w:val="17"/>
          <w:szCs w:val="17"/>
          <w:color w:val="auto"/>
        </w:rPr>
        <w:t>In March 2020, the World Health Organization declared a global pandemic related to the rapidly growing outbreak of a novel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strain of coronavirus known as COVID-19. In the following weeks, many countries responded by implementing a number of measures designed to prevent its spread, including stay-at-home or shelter-in-place orders, quarantines and closure of all non-essential businesses.</w:t>
      </w:r>
    </w:p>
    <w:p>
      <w:pPr>
        <w:spacing w:after="0" w:line="165"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We have operations and employees in various regions affected by coronavirus, including our headquarters in California, which is subject to a shelter-in-place order. Our manufacturing facilities in Atlanta and the United Kingdom, and our contract manufacturing facilities in Southeast Asia, many of which closed between one to two months in early 2020 have caused some disruptions in our supply chain which also resulted in increased air freight costs. Although we have seen some significant business disruptions due to COVID-19, the broader implications of COVID-19 on our results of operations and overall financial performance remain uncertain. The negative financial impact from the temporary stoppage in our factories, disruption in our supply chain and increased air freight costs experienced in the first quarter of 2020 was offset by strong revenue growth year-over-year partly due to an increase in demand for our gear as more people in more countries are under shelter-in-place restrictions. We believe that shelter-in-place and other similar restrictions have resulted in increased demand for our gear because such restrictions have limited people’s access to alternative forms of entertainment and social interaction, and thus have increased the demand for home entertainment and connecting with others through content creation. Further, we believe the increased demand for our gear has been driven in part by individuals seeking to improve their work from home setup. This increase in demand has continued into the third quarter and we expect it to continue through the remainder of the year as the COVID-19 pandemic continues. However, as global economic activity slows down, the demand for our gear could decline despite these trends. Moreover, travel restrictions, factory closures and disruptions in our supply chain are likely to happen and we or our suppliers may not be able to obtain adequate inventory to sell. The dynamic nature and uncertainty of the circumstances surrounding COVID-19 pandemic may have adverse consequences on our results of operations for 2020 and may negatively impact future fiscal periods in the event of prolonged disruptions associated with the outbreak. We continue to evaluate the nature and extent of the impact of the COVID-19 pandemic to our business and we have implemented various measures to attempt to mitigate the disruptive logistic impact specifically around managing inventory stocking level at our distribution hubs and determining the mode of shipment used to deploy our gear to the customers, and we are also ready to implement adjustments to our expenses and cash flow in the event of declines in revenues.</w:t>
      </w:r>
    </w:p>
    <w:p>
      <w:pPr>
        <w:spacing w:after="0" w:line="171" w:lineRule="exact"/>
        <w:rPr>
          <w:sz w:val="20"/>
          <w:szCs w:val="20"/>
          <w:color w:val="auto"/>
        </w:rPr>
      </w:pPr>
    </w:p>
    <w:p>
      <w:pPr>
        <w:ind w:right="140" w:firstLine="510"/>
        <w:spacing w:after="0" w:line="279" w:lineRule="auto"/>
        <w:rPr>
          <w:sz w:val="20"/>
          <w:szCs w:val="20"/>
          <w:color w:val="auto"/>
        </w:rPr>
      </w:pPr>
      <w:r>
        <w:rPr>
          <w:rFonts w:ascii="Arial" w:cs="Arial" w:eastAsia="Arial" w:hAnsi="Arial"/>
          <w:sz w:val="17"/>
          <w:szCs w:val="17"/>
          <w:b w:val="1"/>
          <w:bCs w:val="1"/>
          <w:i w:val="1"/>
          <w:iCs w:val="1"/>
          <w:color w:val="auto"/>
        </w:rPr>
        <w:t>Impact of Fluctuations in Integrated Circuits Pricing</w:t>
      </w:r>
      <w:r>
        <w:rPr>
          <w:rFonts w:ascii="Arial" w:cs="Arial" w:eastAsia="Arial" w:hAnsi="Arial"/>
          <w:sz w:val="17"/>
          <w:szCs w:val="17"/>
          <w:color w:val="auto"/>
        </w:rPr>
        <w:t>. Integrated circuits, or ICs, account for most of the cost of producing our high-performance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memory products. IC prices are subject to pricing fluctuations which can affect the average sales prices of memory modules, and thus impact our net revenue, and can have an effect on gross margins. The impact on net revenues can be significant as our high-performance memory products, included within our gaming components and systems segment, represent a significant portion of our net revenue.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Operating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w:t>
      </w:r>
    </w:p>
    <w:p>
      <w:pPr>
        <w:spacing w:after="0" w:line="117"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We generate all of our net revenue from the sale of gamer and creator peripherals and gaming components and systems to retailers, including online retailers, gamers and distributors worldwide. Our revenue is recognized net of allowances for returns, discounts, sales incentives and any taxes collected from customers.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right="280" w:firstLine="510"/>
        <w:spacing w:after="0" w:line="301" w:lineRule="auto"/>
        <w:rPr>
          <w:sz w:val="20"/>
          <w:szCs w:val="20"/>
          <w:color w:val="auto"/>
        </w:rPr>
      </w:pPr>
      <w:r>
        <w:rPr>
          <w:rFonts w:ascii="Arial" w:cs="Arial" w:eastAsia="Arial" w:hAnsi="Arial"/>
          <w:sz w:val="16"/>
          <w:szCs w:val="16"/>
          <w:color w:val="auto"/>
        </w:rPr>
        <w:t>Cost of revenue consists of product costs, including costs of contract manufacturers, inbound freight costs from manufacturers to our distribution hubs as well as inter-hub shipments, cost of materials and overhead, duties and tariffs, warranty replacement cost to process and rework returned items, depreciation of tooling equipment, warehousing costs, excess and obsolete inventory write-downs, and certain allocated costs related to facilities and information technology, or IT, and personnel-related expenses and other operating expenses related to supply chain logistics.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Operating expenses consist of product development and sales, general and administrative expenses.</w:t>
      </w:r>
    </w:p>
    <w:p>
      <w:pPr>
        <w:spacing w:after="0" w:line="225"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i w:val="1"/>
          <w:iCs w:val="1"/>
          <w:color w:val="auto"/>
        </w:rPr>
        <w:t xml:space="preserve">Sales, general and administrative. </w:t>
      </w:r>
      <w:r>
        <w:rPr>
          <w:rFonts w:ascii="Arial" w:cs="Arial" w:eastAsia="Arial" w:hAnsi="Arial"/>
          <w:sz w:val="18"/>
          <w:szCs w:val="18"/>
          <w:color w:val="auto"/>
        </w:rPr>
        <w:t>Sales, general and administrative, or SG&amp;A expenses represent the largest component of our 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consist of distribution costs, sales, marketing and other general and administrative costs. Distribution costs include outbound freight and the costs to operate our distribution hubs. Sales and marketing costs relate to the costs to operate our global sales force that works in conjunction with our channel partners, gaming team and event sponsorships, advertising and marketing promotions of our products and services, costs of maintaining our web store and credit card processing fees related to sales on our webstore, and personnel-related cost. General and administrative costs consist primarily of personnel-related expenses for our finance, legal, human resources, IT and administrative personnel, as well as the costs of professional services related to these functions.</w:t>
      </w:r>
    </w:p>
    <w:p>
      <w:pPr>
        <w:spacing w:after="0" w:line="195" w:lineRule="exact"/>
        <w:rPr>
          <w:sz w:val="20"/>
          <w:szCs w:val="20"/>
          <w:color w:val="auto"/>
        </w:rPr>
      </w:pPr>
    </w:p>
    <w:p>
      <w:pPr>
        <w:jc w:val="both"/>
        <w:ind w:right="340" w:firstLine="510"/>
        <w:spacing w:after="0" w:line="263" w:lineRule="auto"/>
        <w:rPr>
          <w:sz w:val="20"/>
          <w:szCs w:val="20"/>
          <w:color w:val="auto"/>
        </w:rPr>
      </w:pPr>
      <w:r>
        <w:rPr>
          <w:rFonts w:ascii="Arial" w:cs="Arial" w:eastAsia="Arial" w:hAnsi="Arial"/>
          <w:sz w:val="18"/>
          <w:szCs w:val="18"/>
          <w:color w:val="auto"/>
        </w:rPr>
        <w:t>We expect our total sales, general and administrative expenses to increase in absolute dollars as we continue to actively promote and distribute a higher volume of our products and also due to the anticipated growth of our business and related infrastructure, including increase in legal, accounting, insurance, compliance, investor relations and other costs associated with becoming a public company.</w:t>
      </w:r>
    </w:p>
    <w:p>
      <w:pPr>
        <w:spacing w:after="0" w:line="184" w:lineRule="exact"/>
        <w:rPr>
          <w:sz w:val="20"/>
          <w:szCs w:val="20"/>
          <w:color w:val="auto"/>
        </w:rPr>
      </w:pPr>
    </w:p>
    <w:p>
      <w:pPr>
        <w:ind w:right="340" w:firstLine="510"/>
        <w:spacing w:after="0" w:line="259" w:lineRule="auto"/>
        <w:rPr>
          <w:sz w:val="20"/>
          <w:szCs w:val="20"/>
          <w:color w:val="auto"/>
        </w:rPr>
      </w:pPr>
      <w:r>
        <w:rPr>
          <w:rFonts w:ascii="Arial" w:cs="Arial" w:eastAsia="Arial" w:hAnsi="Arial"/>
          <w:sz w:val="18"/>
          <w:szCs w:val="18"/>
          <w:i w:val="1"/>
          <w:iCs w:val="1"/>
          <w:color w:val="auto"/>
        </w:rPr>
        <w:t>Product development</w:t>
      </w:r>
      <w:r>
        <w:rPr>
          <w:rFonts w:ascii="Arial" w:cs="Arial" w:eastAsia="Arial" w:hAnsi="Arial"/>
          <w:sz w:val="18"/>
          <w:szCs w:val="18"/>
          <w:color w:val="auto"/>
        </w:rPr>
        <w:t>. Product development costs are generally expensed as incurred and reported in the condensed combined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of operations. Product development costs consist primarily of the costs associated with the design and testing of new products and improvements to existing products. These costs relate primarily to compensation of personnel and consultants involved with product design, definition, compatibility testing and qualification.</w:t>
      </w:r>
    </w:p>
    <w:p>
      <w:pPr>
        <w:spacing w:after="0" w:line="187"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We expect our product development expenses to increase in absolute dollars as we continue to make significant investments in developing new products and enhancing existing products.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jc w:val="both"/>
        <w:ind w:right="340" w:firstLine="510"/>
        <w:spacing w:after="0" w:line="263" w:lineRule="auto"/>
        <w:rPr>
          <w:sz w:val="20"/>
          <w:szCs w:val="20"/>
          <w:color w:val="auto"/>
        </w:rPr>
      </w:pPr>
      <w:r>
        <w:rPr>
          <w:rFonts w:ascii="Arial" w:cs="Arial" w:eastAsia="Arial" w:hAnsi="Arial"/>
          <w:sz w:val="18"/>
          <w:szCs w:val="18"/>
          <w:color w:val="auto"/>
        </w:rPr>
        <w:t>Interest expense consists of interest associated with our debt financing arrangements, including our revolving line of credit, amortization of debt issuance costs and debt discounts, loss from debt extinguishment, consisting of the write-off of unamortized debt discount and fees associated with the prepayment of our term loans, and the change in fair value of our interest rate cap contracts.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17"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Other (expense) income, net consists primarily of our foreign currency exchange gains and losses relating to transactions and remeasurement of asset and liability balances denominated in currencies other than the U.S. dollar. We expect our foreign currency gains and losses to continue to fluctuate in the future due to changes in foreign currency exchange rates.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17"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We are subject to income taxes in the United States and foreign jurisdictions in which we do business. These foreign jurisdictions have statutory tax rates different from those in the United States. Accordingly, our effective tax rates will vary depending on the relative proportion of foreign to United States income, the utilization of foreign tax credits and changes in tax laws. Deferred tax assets are reduced through the establishment of a valuation allowance, if, based upon available evidence, it is determined that it is more likely than not that the deferred tax assets will not be realized.</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tax and financial reporting bases of our assets and liabilities. Deferred tax assets and liabilities are measured using enacted tax rates expected to apply to taxable income in future years in which those temporary differences are expected to be recovered or settled.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The following tables set forth the components of our condensed combined consolidated statements of operations, in dollars and as a percentage of total net revenue, for each of the periods presented.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40" w:type="dxa"/>
            <w:vAlign w:val="bottom"/>
            <w:gridSpan w:val="8"/>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8"/>
          </w:tcPr>
          <w:p>
            <w:pPr>
              <w:jc w:val="right"/>
              <w:ind w:right="86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40" w:type="dxa"/>
            <w:vAlign w:val="bottom"/>
            <w:gridSpan w:val="8"/>
          </w:tcPr>
          <w:p>
            <w:pPr>
              <w:jc w:val="right"/>
              <w:ind w:right="10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5"/>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gridSpan w:val="5"/>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revenue</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457,103</w:t>
            </w:r>
          </w:p>
        </w:tc>
        <w:tc>
          <w:tcPr>
            <w:tcW w:w="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284,372</w:t>
            </w:r>
          </w:p>
        </w:tc>
        <w:tc>
          <w:tcPr>
            <w:tcW w:w="1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1,146,028</w:t>
            </w:r>
          </w:p>
        </w:tc>
        <w:tc>
          <w:tcPr>
            <w:tcW w:w="1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2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770,619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Cost of revenue</w:t>
            </w: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329,159</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224,145</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834,398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616,785</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127,944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60,227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311,630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153,834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Sales, general and administrative</w:t>
            </w: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65,321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39,811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175,877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115,992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Product development</w:t>
            </w: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12,902</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9,454</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36,285</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28,353</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78,223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49,265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212,162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144,345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49,721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10,962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99,468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9,489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gridSpan w:val="2"/>
          </w:tcPr>
          <w:p>
            <w:pPr>
              <w:ind w:left="140"/>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9"/>
                <w:szCs w:val="19"/>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(10,170)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(9,119)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(29,116)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(27,063)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Other (expense) income, net</w:t>
            </w: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(399)</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(1,477)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other expense, net</w:t>
            </w:r>
          </w:p>
        </w:tc>
        <w:tc>
          <w:tcPr>
            <w:tcW w:w="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(10,147)</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(9,518)</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(29,145)</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(28,540)</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(loss) before income taxes</w:t>
            </w: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39,574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1,444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70,323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(19,051)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gridSpan w:val="2"/>
          </w:tcPr>
          <w:p>
            <w:pPr>
              <w:ind w:left="140"/>
              <w:spacing w:after="0"/>
              <w:rPr>
                <w:sz w:val="20"/>
                <w:szCs w:val="20"/>
                <w:color w:val="auto"/>
              </w:rPr>
            </w:pPr>
            <w:r>
              <w:rPr>
                <w:rFonts w:ascii="Arial" w:cs="Arial" w:eastAsia="Arial" w:hAnsi="Arial"/>
                <w:sz w:val="18"/>
                <w:szCs w:val="18"/>
                <w:color w:val="auto"/>
              </w:rPr>
              <w:t>Income tax (expense) benefit</w:t>
            </w:r>
          </w:p>
        </w:tc>
        <w:tc>
          <w:tcPr>
            <w:tcW w:w="80" w:type="dxa"/>
            <w:vAlign w:val="bottom"/>
          </w:tcPr>
          <w:p>
            <w:pPr>
              <w:spacing w:after="0"/>
              <w:rPr>
                <w:sz w:val="19"/>
                <w:szCs w:val="19"/>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(3,217)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(10,149)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4,645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36,357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1,519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60,174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(14,406)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5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40" w:type="dxa"/>
            <w:vAlign w:val="bottom"/>
            <w:gridSpan w:val="8"/>
          </w:tcPr>
          <w:p>
            <w:pPr>
              <w:jc w:val="right"/>
              <w:ind w:right="10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gridSpan w:val="5"/>
          </w:tcPr>
          <w:p>
            <w:pPr>
              <w:jc w:val="right"/>
              <w:spacing w:after="0"/>
              <w:rPr>
                <w:sz w:val="20"/>
                <w:szCs w:val="20"/>
                <w:color w:val="auto"/>
              </w:rPr>
            </w:pPr>
            <w:r>
              <w:rPr>
                <w:rFonts w:ascii="Arial" w:cs="Arial" w:eastAsia="Arial" w:hAnsi="Arial"/>
                <w:sz w:val="14"/>
                <w:szCs w:val="14"/>
                <w:b w:val="1"/>
                <w:bCs w:val="1"/>
                <w:color w:val="auto"/>
              </w:rPr>
              <w:t>Nine Months Ended</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jc w:val="right"/>
              <w:ind w:right="107"/>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w w:val="89"/>
              </w:rPr>
              <w:t>2020</w:t>
            </w:r>
          </w:p>
        </w:tc>
        <w:tc>
          <w:tcPr>
            <w:tcW w:w="16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91"/>
              <w:spacing w:after="0" w:line="155" w:lineRule="exact"/>
              <w:rPr>
                <w:sz w:val="20"/>
                <w:szCs w:val="20"/>
                <w:color w:val="auto"/>
              </w:rPr>
            </w:pPr>
            <w:r>
              <w:rPr>
                <w:rFonts w:ascii="Arial" w:cs="Arial" w:eastAsia="Arial" w:hAnsi="Arial"/>
                <w:sz w:val="14"/>
                <w:szCs w:val="14"/>
                <w:b w:val="1"/>
                <w:bCs w:val="1"/>
                <w:color w:val="auto"/>
                <w:w w:val="83"/>
              </w:rPr>
              <w:t>2019</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w:t>
            </w:r>
          </w:p>
        </w:tc>
        <w:tc>
          <w:tcPr>
            <w:tcW w:w="2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Sales, general and administrative</w:t>
            </w: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gridSpan w:val="2"/>
          </w:tcPr>
          <w:p>
            <w:pPr>
              <w:ind w:left="140"/>
              <w:spacing w:after="0"/>
              <w:rPr>
                <w:sz w:val="20"/>
                <w:szCs w:val="20"/>
                <w:color w:val="auto"/>
              </w:rPr>
            </w:pPr>
            <w:r>
              <w:rPr>
                <w:rFonts w:ascii="Arial" w:cs="Arial" w:eastAsia="Arial" w:hAnsi="Arial"/>
                <w:sz w:val="18"/>
                <w:szCs w:val="18"/>
                <w:color w:val="auto"/>
              </w:rPr>
              <w:t>Product development</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gridSpan w:val="2"/>
          </w:tcPr>
          <w:p>
            <w:pPr>
              <w:ind w:left="140"/>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Other (expense) income, net</w:t>
            </w: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expense, net</w:t>
            </w:r>
          </w:p>
        </w:tc>
        <w:tc>
          <w:tcPr>
            <w:tcW w:w="2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Income (loss) before income taxes</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140"/>
              <w:spacing w:after="0"/>
              <w:rPr>
                <w:sz w:val="20"/>
                <w:szCs w:val="20"/>
                <w:color w:val="auto"/>
              </w:rPr>
            </w:pPr>
            <w:r>
              <w:rPr>
                <w:rFonts w:ascii="Arial" w:cs="Arial" w:eastAsia="Arial" w:hAnsi="Arial"/>
                <w:sz w:val="18"/>
                <w:szCs w:val="18"/>
                <w:color w:val="auto"/>
              </w:rPr>
              <w:t>Income tax (expense) benefit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gridSpan w:val="2"/>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gridSpan w:val="2"/>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2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ind w:right="633"/>
              <w:spacing w:after="0"/>
              <w:rPr>
                <w:sz w:val="20"/>
                <w:szCs w:val="20"/>
                <w:color w:val="auto"/>
              </w:rPr>
            </w:pPr>
            <w:r>
              <w:rPr>
                <w:rFonts w:ascii="Arial" w:cs="Arial" w:eastAsia="Arial" w:hAnsi="Arial"/>
                <w:sz w:val="18"/>
                <w:szCs w:val="18"/>
                <w:color w:val="auto"/>
                <w:w w:val="89"/>
              </w:rPr>
              <w:t>32</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20" w:type="dxa"/>
            <w:vAlign w:val="bottom"/>
            <w:gridSpan w:val="3"/>
          </w:tcPr>
          <w:p>
            <w:pPr>
              <w:jc w:val="center"/>
              <w:ind w:right="202"/>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60" w:type="dxa"/>
            <w:vAlign w:val="bottom"/>
            <w:gridSpan w:val="3"/>
          </w:tcPr>
          <w:p>
            <w:pPr>
              <w:jc w:val="center"/>
              <w:ind w:right="319"/>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54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center"/>
              <w:ind w:left="464"/>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center"/>
              <w:ind w:left="384"/>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4"/>
                <w:szCs w:val="14"/>
                <w:color w:val="auto"/>
              </w:rPr>
            </w:pPr>
          </w:p>
        </w:tc>
      </w:tr>
      <w:tr>
        <w:trPr>
          <w:trHeight w:val="156"/>
        </w:trPr>
        <w:tc>
          <w:tcPr>
            <w:tcW w:w="54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24"/>
              <w:spacing w:after="0" w:line="155"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02"/>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24"/>
              <w:spacing w:after="0" w:line="155"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19"/>
              <w:spacing w:after="0" w:line="155" w:lineRule="exact"/>
              <w:rPr>
                <w:sz w:val="20"/>
                <w:szCs w:val="20"/>
                <w:color w:val="auto"/>
              </w:rPr>
            </w:pPr>
            <w:r>
              <w:rPr>
                <w:rFonts w:ascii="Arial" w:cs="Arial" w:eastAsia="Arial" w:hAnsi="Arial"/>
                <w:sz w:val="14"/>
                <w:szCs w:val="14"/>
                <w:b w:val="1"/>
                <w:bCs w:val="1"/>
                <w:color w:val="auto"/>
              </w:rPr>
              <w:t>2019</w:t>
            </w:r>
          </w:p>
        </w:tc>
      </w:tr>
      <w:tr>
        <w:trPr>
          <w:trHeight w:val="155"/>
        </w:trPr>
        <w:tc>
          <w:tcPr>
            <w:tcW w:w="5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80" w:type="dxa"/>
            <w:vAlign w:val="bottom"/>
            <w:gridSpan w:val="3"/>
          </w:tcPr>
          <w:p>
            <w:pPr>
              <w:jc w:val="right"/>
              <w:ind w:right="60"/>
              <w:spacing w:after="0" w:line="155" w:lineRule="exact"/>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Net revenue</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44"/>
              <w:spacing w:after="0"/>
              <w:rPr>
                <w:sz w:val="20"/>
                <w:szCs w:val="20"/>
                <w:color w:val="auto"/>
              </w:rPr>
            </w:pPr>
            <w:r>
              <w:rPr>
                <w:rFonts w:ascii="Arial" w:cs="Arial" w:eastAsia="Arial" w:hAnsi="Arial"/>
                <w:sz w:val="18"/>
                <w:szCs w:val="18"/>
                <w:color w:val="auto"/>
              </w:rPr>
              <w:t>457,103</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284,372</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44"/>
              <w:spacing w:after="0"/>
              <w:rPr>
                <w:sz w:val="20"/>
                <w:szCs w:val="20"/>
                <w:color w:val="auto"/>
              </w:rPr>
            </w:pPr>
            <w:r>
              <w:rPr>
                <w:rFonts w:ascii="Arial" w:cs="Arial" w:eastAsia="Arial" w:hAnsi="Arial"/>
                <w:sz w:val="18"/>
                <w:szCs w:val="18"/>
                <w:color w:val="auto"/>
              </w:rPr>
              <w:t>1,146,028</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770,619</w:t>
            </w:r>
          </w:p>
        </w:tc>
      </w:tr>
    </w:tbl>
    <w:p>
      <w:pPr>
        <w:spacing w:after="0" w:line="229"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Net revenue increased $172.7 million, or 60.7%, for the three months ended September 30, 2020 as compared to the same period last year. Net revenue increased $375.4 million, or 48.7%, for the nine months ended September 30, 2020 as compared to the same period last year. We experienced at least double-digit revenue growth in both our gaming components and systems segment and gamer and creator peripherals segment, for both the three- and nine-month periods. We believe the increased demand of our products is generally due to a larger number of consumers, gaming and working from home due to the COVID-19 pandemic, in addition to existing customers upgrading their systems and gear for a better gaming and/or streaming experience, and to a lesser extent, the inclusion of post-acquisition revenues from the SCUF Acquisition and the Origin Acquisition.</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95"/>
              </w:rPr>
              <w:t>Three Months Ended</w:t>
            </w:r>
          </w:p>
        </w:tc>
        <w:tc>
          <w:tcPr>
            <w:tcW w:w="380" w:type="dxa"/>
            <w:vAlign w:val="bottom"/>
          </w:tcPr>
          <w:p>
            <w:pPr>
              <w:spacing w:after="0"/>
              <w:rPr>
                <w:sz w:val="14"/>
                <w:szCs w:val="14"/>
                <w:color w:val="auto"/>
              </w:rPr>
            </w:pPr>
          </w:p>
        </w:tc>
        <w:tc>
          <w:tcPr>
            <w:tcW w:w="1620" w:type="dxa"/>
            <w:vAlign w:val="bottom"/>
            <w:gridSpan w:val="2"/>
          </w:tcPr>
          <w:p>
            <w:pPr>
              <w:jc w:val="center"/>
              <w:ind w:left="281"/>
              <w:spacing w:after="0"/>
              <w:rPr>
                <w:sz w:val="20"/>
                <w:szCs w:val="20"/>
                <w:color w:val="auto"/>
              </w:rPr>
            </w:pPr>
            <w:r>
              <w:rPr>
                <w:rFonts w:ascii="Arial" w:cs="Arial" w:eastAsia="Arial" w:hAnsi="Arial"/>
                <w:sz w:val="14"/>
                <w:szCs w:val="14"/>
                <w:b w:val="1"/>
                <w:bCs w:val="1"/>
                <w:color w:val="auto"/>
                <w:w w:val="93"/>
              </w:rPr>
              <w:t>Nine Months Ended</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31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center"/>
              <w:ind w:left="481"/>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center"/>
              <w:ind w:left="301"/>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31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41"/>
              <w:spacing w:after="0" w:line="155"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41"/>
              <w:spacing w:after="0" w:line="155"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96"/>
              <w:spacing w:after="0" w:line="155" w:lineRule="exact"/>
              <w:rPr>
                <w:sz w:val="20"/>
                <w:szCs w:val="20"/>
                <w:color w:val="auto"/>
              </w:rPr>
            </w:pPr>
            <w:r>
              <w:rPr>
                <w:rFonts w:ascii="Arial" w:cs="Arial" w:eastAsia="Arial" w:hAnsi="Arial"/>
                <w:sz w:val="14"/>
                <w:szCs w:val="14"/>
                <w:b w:val="1"/>
                <w:bCs w:val="1"/>
                <w:color w:val="auto"/>
                <w:w w:val="83"/>
              </w:rPr>
              <w:t>2019</w:t>
            </w:r>
          </w:p>
        </w:tc>
        <w:tc>
          <w:tcPr>
            <w:tcW w:w="180" w:type="dxa"/>
            <w:vAlign w:val="bottom"/>
          </w:tcPr>
          <w:p>
            <w:pPr>
              <w:spacing w:after="0"/>
              <w:rPr>
                <w:sz w:val="13"/>
                <w:szCs w:val="13"/>
                <w:color w:val="auto"/>
              </w:rPr>
            </w:pPr>
          </w:p>
        </w:tc>
      </w:tr>
      <w:tr>
        <w:trPr>
          <w:trHeight w:val="155"/>
        </w:trPr>
        <w:tc>
          <w:tcPr>
            <w:tcW w:w="31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40" w:type="dxa"/>
            <w:vAlign w:val="bottom"/>
            <w:gridSpan w:val="3"/>
          </w:tcPr>
          <w:p>
            <w:pPr>
              <w:jc w:val="right"/>
              <w:ind w:right="27"/>
              <w:spacing w:after="0" w:line="155" w:lineRule="exact"/>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29"/>
        </w:trPr>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181"/>
              <w:spacing w:after="0"/>
              <w:rPr>
                <w:sz w:val="20"/>
                <w:szCs w:val="20"/>
                <w:color w:val="auto"/>
              </w:rPr>
            </w:pPr>
            <w:r>
              <w:rPr>
                <w:rFonts w:ascii="Arial" w:cs="Arial" w:eastAsia="Arial" w:hAnsi="Arial"/>
                <w:sz w:val="18"/>
                <w:szCs w:val="18"/>
                <w:color w:val="auto"/>
              </w:rPr>
              <w:t>127,944</w:t>
            </w:r>
          </w:p>
        </w:tc>
        <w:tc>
          <w:tcPr>
            <w:tcW w:w="4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60,227</w:t>
            </w:r>
          </w:p>
        </w:tc>
        <w:tc>
          <w:tcPr>
            <w:tcW w:w="3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311,630</w:t>
            </w:r>
          </w:p>
        </w:tc>
        <w:tc>
          <w:tcPr>
            <w:tcW w:w="54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153,834</w:t>
            </w:r>
          </w:p>
        </w:tc>
        <w:tc>
          <w:tcPr>
            <w:tcW w:w="180" w:type="dxa"/>
            <w:vAlign w:val="bottom"/>
            <w:shd w:val="clear" w:color="auto" w:fill="CFF0FC"/>
          </w:tcPr>
          <w:p>
            <w:pPr>
              <w:spacing w:after="0"/>
              <w:rPr>
                <w:sz w:val="19"/>
                <w:szCs w:val="19"/>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Gross margin</w:t>
            </w:r>
          </w:p>
        </w:tc>
        <w:tc>
          <w:tcPr>
            <w:tcW w:w="2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
              <w:spacing w:after="0"/>
              <w:rPr>
                <w:sz w:val="20"/>
                <w:szCs w:val="20"/>
                <w:color w:val="auto"/>
              </w:rPr>
            </w:pPr>
            <w:r>
              <w:rPr>
                <w:rFonts w:ascii="Arial" w:cs="Arial" w:eastAsia="Arial" w:hAnsi="Arial"/>
                <w:sz w:val="18"/>
                <w:szCs w:val="18"/>
                <w:color w:val="auto"/>
              </w:rPr>
              <w:t>28.0%</w:t>
            </w:r>
          </w:p>
        </w:tc>
        <w:tc>
          <w:tcPr>
            <w:tcW w:w="4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21.2%</w:t>
            </w:r>
          </w:p>
        </w:tc>
        <w:tc>
          <w:tcPr>
            <w:tcW w:w="380" w:type="dxa"/>
            <w:vAlign w:val="bottom"/>
          </w:tcPr>
          <w:p>
            <w:pPr>
              <w:spacing w:after="0"/>
              <w:rPr>
                <w:sz w:val="20"/>
                <w:szCs w:val="20"/>
                <w:color w:val="auto"/>
              </w:rPr>
            </w:pPr>
          </w:p>
        </w:tc>
        <w:tc>
          <w:tcPr>
            <w:tcW w:w="1080" w:type="dxa"/>
            <w:vAlign w:val="bottom"/>
          </w:tcPr>
          <w:p>
            <w:pPr>
              <w:jc w:val="right"/>
              <w:ind w:right="1"/>
              <w:spacing w:after="0"/>
              <w:rPr>
                <w:sz w:val="20"/>
                <w:szCs w:val="20"/>
                <w:color w:val="auto"/>
              </w:rPr>
            </w:pPr>
            <w:r>
              <w:rPr>
                <w:rFonts w:ascii="Arial" w:cs="Arial" w:eastAsia="Arial" w:hAnsi="Arial"/>
                <w:sz w:val="18"/>
                <w:szCs w:val="18"/>
                <w:color w:val="auto"/>
              </w:rPr>
              <w:t>27.2%</w:t>
            </w:r>
          </w:p>
        </w:tc>
        <w:tc>
          <w:tcPr>
            <w:tcW w:w="5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r>
    </w:tbl>
    <w:p>
      <w:pPr>
        <w:spacing w:after="0" w:line="241"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Gross margin increased to 28.0% for the three months ended September 30, 2020 from 21.2% for the same period last year and increased to 27.2% for the nine months ended September 30, 2020 from 20.0% for the same period last year. The increase in gross margins for both the three- and nine-month periods was primarily driven by increased sales volume, improved product mix and less promotional activity, and were partially offset by increased air freight costs incurred in order to meet increased customer demand.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General and Administrative (SG&amp;A)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20" w:type="dxa"/>
            <w:vAlign w:val="bottom"/>
            <w:gridSpan w:val="3"/>
          </w:tcPr>
          <w:p>
            <w:pPr>
              <w:jc w:val="center"/>
              <w:ind w:right="202"/>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60" w:type="dxa"/>
            <w:vAlign w:val="bottom"/>
            <w:gridSpan w:val="3"/>
          </w:tcPr>
          <w:p>
            <w:pPr>
              <w:jc w:val="center"/>
              <w:ind w:right="319"/>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54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center"/>
              <w:ind w:left="464"/>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center"/>
              <w:ind w:left="384"/>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4"/>
                <w:szCs w:val="14"/>
                <w:color w:val="auto"/>
              </w:rPr>
            </w:pPr>
          </w:p>
        </w:tc>
      </w:tr>
      <w:tr>
        <w:trPr>
          <w:trHeight w:val="155"/>
        </w:trPr>
        <w:tc>
          <w:tcPr>
            <w:tcW w:w="54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24"/>
              <w:spacing w:after="0" w:line="155"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02"/>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24"/>
              <w:spacing w:after="0" w:line="155"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19"/>
              <w:spacing w:after="0" w:line="155" w:lineRule="exact"/>
              <w:rPr>
                <w:sz w:val="20"/>
                <w:szCs w:val="20"/>
                <w:color w:val="auto"/>
              </w:rPr>
            </w:pPr>
            <w:r>
              <w:rPr>
                <w:rFonts w:ascii="Arial" w:cs="Arial" w:eastAsia="Arial" w:hAnsi="Arial"/>
                <w:sz w:val="14"/>
                <w:szCs w:val="14"/>
                <w:b w:val="1"/>
                <w:bCs w:val="1"/>
                <w:color w:val="auto"/>
              </w:rPr>
              <w:t>2019</w:t>
            </w:r>
          </w:p>
        </w:tc>
      </w:tr>
      <w:tr>
        <w:trPr>
          <w:trHeight w:val="155"/>
        </w:trPr>
        <w:tc>
          <w:tcPr>
            <w:tcW w:w="5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80" w:type="dxa"/>
            <w:vAlign w:val="bottom"/>
            <w:gridSpan w:val="3"/>
          </w:tcPr>
          <w:p>
            <w:pPr>
              <w:jc w:val="right"/>
              <w:ind w:right="60"/>
              <w:spacing w:after="0" w:line="155" w:lineRule="exact"/>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Sales, general and administrative</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44"/>
              <w:spacing w:after="0"/>
              <w:rPr>
                <w:sz w:val="20"/>
                <w:szCs w:val="20"/>
                <w:color w:val="auto"/>
              </w:rPr>
            </w:pPr>
            <w:r>
              <w:rPr>
                <w:rFonts w:ascii="Arial" w:cs="Arial" w:eastAsia="Arial" w:hAnsi="Arial"/>
                <w:sz w:val="18"/>
                <w:szCs w:val="18"/>
                <w:color w:val="auto"/>
              </w:rPr>
              <w:t>65,321</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39,811</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44"/>
              <w:spacing w:after="0"/>
              <w:rPr>
                <w:sz w:val="20"/>
                <w:szCs w:val="20"/>
                <w:color w:val="auto"/>
              </w:rPr>
            </w:pPr>
            <w:r>
              <w:rPr>
                <w:rFonts w:ascii="Arial" w:cs="Arial" w:eastAsia="Arial" w:hAnsi="Arial"/>
                <w:sz w:val="18"/>
                <w:szCs w:val="18"/>
                <w:color w:val="auto"/>
              </w:rPr>
              <w:t>175,877</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115,992</w:t>
            </w:r>
          </w:p>
        </w:tc>
      </w:tr>
    </w:tbl>
    <w:p>
      <w:pPr>
        <w:spacing w:after="0" w:line="229" w:lineRule="exact"/>
        <w:rPr>
          <w:sz w:val="20"/>
          <w:szCs w:val="20"/>
          <w:color w:val="auto"/>
        </w:rPr>
      </w:pPr>
    </w:p>
    <w:p>
      <w:pPr>
        <w:ind w:right="80" w:firstLine="510"/>
        <w:spacing w:after="0" w:line="290" w:lineRule="auto"/>
        <w:rPr>
          <w:sz w:val="20"/>
          <w:szCs w:val="20"/>
          <w:color w:val="auto"/>
        </w:rPr>
      </w:pPr>
      <w:r>
        <w:rPr>
          <w:rFonts w:ascii="Arial" w:cs="Arial" w:eastAsia="Arial" w:hAnsi="Arial"/>
          <w:sz w:val="17"/>
          <w:szCs w:val="17"/>
          <w:color w:val="auto"/>
        </w:rPr>
        <w:t>SG&amp;A expenses increased $25.5 million, or 64.1%, for the three months ended September 30, 2020 as compared to the same period last year. The increase was primarily due to a $9.2 million increase in distribution costs including outbound freight and the costs to operate our distribution hubs due to increased sales volume, the inclusion of $7.7 million of SCUF’s post-acquisition SG&amp;A expenses, a $6.9 million increase in personnel-related costs due to headcount growth and higher bonus expense, and a $1.7 million increase in marketing and advertising expenses.</w:t>
      </w:r>
    </w:p>
    <w:p>
      <w:pPr>
        <w:spacing w:after="0" w:line="162" w:lineRule="exact"/>
        <w:rPr>
          <w:sz w:val="20"/>
          <w:szCs w:val="20"/>
          <w:color w:val="auto"/>
        </w:rPr>
      </w:pPr>
    </w:p>
    <w:p>
      <w:pPr>
        <w:ind w:right="160" w:firstLine="510"/>
        <w:spacing w:after="0" w:line="280" w:lineRule="auto"/>
        <w:rPr>
          <w:sz w:val="20"/>
          <w:szCs w:val="20"/>
          <w:color w:val="auto"/>
        </w:rPr>
      </w:pPr>
      <w:r>
        <w:rPr>
          <w:rFonts w:ascii="Arial" w:cs="Arial" w:eastAsia="Arial" w:hAnsi="Arial"/>
          <w:sz w:val="17"/>
          <w:szCs w:val="17"/>
          <w:color w:val="auto"/>
        </w:rPr>
        <w:t>SG&amp;A expenses increased $59.9 million, or 51.6%, for the nine months ended September 30, 2020 as compared to the same period last year. The increase was primarily due to the inclusion of $22.2 million of SCUF’s post-acquisition SG&amp;A expenses, including debt refinancing costs for funding the SCUF acquisition, and acquisition and integration costs related to the SCUF Acquisition, a $17.2 million increase in personnel-related costs due to headcount growth and higher bonus expense, a $15.2 million increase in distribution costs including outbound freight and the costs to operate our distribution hubs due to increased sales volume, a $2.7 million increase in professional fees in connection with our IPO and our preparation to become a public company, and a $2.6 million increase in marketing and advertising expenses.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80" w:type="dxa"/>
            <w:vAlign w:val="bottom"/>
            <w:gridSpan w:val="2"/>
          </w:tcPr>
          <w:p>
            <w:pPr>
              <w:jc w:val="center"/>
              <w:ind w:left="84"/>
              <w:spacing w:after="0"/>
              <w:rPr>
                <w:sz w:val="20"/>
                <w:szCs w:val="20"/>
                <w:color w:val="auto"/>
              </w:rPr>
            </w:pPr>
            <w:r>
              <w:rPr>
                <w:rFonts w:ascii="Arial" w:cs="Arial" w:eastAsia="Arial" w:hAnsi="Arial"/>
                <w:sz w:val="14"/>
                <w:szCs w:val="14"/>
                <w:b w:val="1"/>
                <w:bCs w:val="1"/>
                <w:color w:val="auto"/>
                <w:w w:val="93"/>
              </w:rPr>
              <w:t>Three Months Ended</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60" w:type="dxa"/>
            <w:vAlign w:val="bottom"/>
            <w:gridSpan w:val="3"/>
          </w:tcPr>
          <w:p>
            <w:pPr>
              <w:ind w:left="36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4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2"/>
          </w:tcPr>
          <w:p>
            <w:pPr>
              <w:jc w:val="center"/>
              <w:ind w:left="64"/>
              <w:spacing w:after="0"/>
              <w:rPr>
                <w:sz w:val="20"/>
                <w:szCs w:val="20"/>
                <w:color w:val="auto"/>
              </w:rPr>
            </w:pPr>
            <w:r>
              <w:rPr>
                <w:rFonts w:ascii="Arial" w:cs="Arial" w:eastAsia="Arial" w:hAnsi="Arial"/>
                <w:sz w:val="14"/>
                <w:szCs w:val="14"/>
                <w:b w:val="1"/>
                <w:bCs w:val="1"/>
                <w:color w:val="auto"/>
                <w:w w:val="91"/>
              </w:rPr>
              <w:t>September 30,</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w w:val="98"/>
              </w:rPr>
              <w:t>September 30,</w:t>
            </w:r>
          </w:p>
        </w:tc>
        <w:tc>
          <w:tcPr>
            <w:tcW w:w="860" w:type="dxa"/>
            <w:vAlign w:val="bottom"/>
            <w:tcBorders>
              <w:bottom w:val="single" w:sz="8" w:color="auto"/>
            </w:tcBorders>
          </w:tcPr>
          <w:p>
            <w:pPr>
              <w:spacing w:after="0"/>
              <w:rPr>
                <w:sz w:val="14"/>
                <w:szCs w:val="14"/>
                <w:color w:val="auto"/>
              </w:rPr>
            </w:pPr>
          </w:p>
        </w:tc>
      </w:tr>
      <w:tr>
        <w:trPr>
          <w:trHeight w:val="156"/>
        </w:trPr>
        <w:tc>
          <w:tcPr>
            <w:tcW w:w="54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24"/>
              <w:spacing w:after="0" w:line="155" w:lineRule="exact"/>
              <w:rPr>
                <w:sz w:val="20"/>
                <w:szCs w:val="20"/>
                <w:color w:val="auto"/>
              </w:rPr>
            </w:pPr>
            <w:r>
              <w:rPr>
                <w:rFonts w:ascii="Arial" w:cs="Arial" w:eastAsia="Arial" w:hAnsi="Arial"/>
                <w:sz w:val="14"/>
                <w:szCs w:val="14"/>
                <w:b w:val="1"/>
                <w:bCs w:val="1"/>
                <w:color w:val="auto"/>
              </w:rPr>
              <w:t>2020</w:t>
            </w: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24"/>
              <w:spacing w:after="0" w:line="155"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19"/>
              <w:spacing w:after="0" w:line="155" w:lineRule="exact"/>
              <w:rPr>
                <w:sz w:val="20"/>
                <w:szCs w:val="20"/>
                <w:color w:val="auto"/>
              </w:rPr>
            </w:pPr>
            <w:r>
              <w:rPr>
                <w:rFonts w:ascii="Arial" w:cs="Arial" w:eastAsia="Arial" w:hAnsi="Arial"/>
                <w:sz w:val="14"/>
                <w:szCs w:val="14"/>
                <w:b w:val="1"/>
                <w:bCs w:val="1"/>
                <w:color w:val="auto"/>
              </w:rPr>
              <w:t>2019</w:t>
            </w:r>
          </w:p>
        </w:tc>
      </w:tr>
      <w:tr>
        <w:trPr>
          <w:trHeight w:val="155"/>
        </w:trPr>
        <w:tc>
          <w:tcPr>
            <w:tcW w:w="5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gridSpan w:val="3"/>
          </w:tcPr>
          <w:p>
            <w:pPr>
              <w:jc w:val="right"/>
              <w:ind w:right="60"/>
              <w:spacing w:after="0" w:line="155" w:lineRule="exact"/>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Product development</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44"/>
              <w:spacing w:after="0"/>
              <w:rPr>
                <w:sz w:val="20"/>
                <w:szCs w:val="20"/>
                <w:color w:val="auto"/>
              </w:rPr>
            </w:pPr>
            <w:r>
              <w:rPr>
                <w:rFonts w:ascii="Arial" w:cs="Arial" w:eastAsia="Arial" w:hAnsi="Arial"/>
                <w:sz w:val="18"/>
                <w:szCs w:val="18"/>
                <w:color w:val="auto"/>
              </w:rPr>
              <w:t>12,902</w:t>
            </w:r>
          </w:p>
        </w:tc>
        <w:tc>
          <w:tcPr>
            <w:tcW w:w="920" w:type="dxa"/>
            <w:vAlign w:val="bottom"/>
          </w:tcPr>
          <w:p>
            <w:pPr>
              <w:jc w:val="right"/>
              <w:ind w:right="619"/>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9,454</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Pr>
          <w:p>
            <w:pPr>
              <w:ind w:left="340"/>
              <w:spacing w:after="0"/>
              <w:rPr>
                <w:sz w:val="20"/>
                <w:szCs w:val="20"/>
                <w:color w:val="auto"/>
              </w:rPr>
            </w:pPr>
            <w:r>
              <w:rPr>
                <w:rFonts w:ascii="Arial" w:cs="Arial" w:eastAsia="Arial" w:hAnsi="Arial"/>
                <w:sz w:val="18"/>
                <w:szCs w:val="18"/>
                <w:color w:val="auto"/>
              </w:rPr>
              <w:t>36,285</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28,353</w:t>
            </w:r>
          </w:p>
        </w:tc>
      </w:tr>
    </w:tbl>
    <w:p>
      <w:pPr>
        <w:spacing w:after="0" w:line="242" w:lineRule="exact"/>
        <w:rPr>
          <w:sz w:val="20"/>
          <w:szCs w:val="20"/>
          <w:color w:val="auto"/>
        </w:rPr>
      </w:pPr>
    </w:p>
    <w:p>
      <w:pPr>
        <w:jc w:val="both"/>
        <w:ind w:right="240" w:firstLine="510"/>
        <w:spacing w:after="0" w:line="301" w:lineRule="auto"/>
        <w:rPr>
          <w:sz w:val="20"/>
          <w:szCs w:val="20"/>
          <w:color w:val="auto"/>
        </w:rPr>
      </w:pPr>
      <w:r>
        <w:rPr>
          <w:rFonts w:ascii="Arial" w:cs="Arial" w:eastAsia="Arial" w:hAnsi="Arial"/>
          <w:sz w:val="16"/>
          <w:szCs w:val="16"/>
          <w:color w:val="auto"/>
        </w:rPr>
        <w:t>Product development expenses increased $3.4 million, or 36.5%, for the three months ended September 30, 2020 as compared to the same period last year. The increase was primarily driven by a $1.7 million increase in personnel-related expenses due to headcount growth and higher bonus expense, the inclusion of $1.6 million of SCUF’s post-acquisition product development expenses and a $1.2 million increase in other product development related costs. These increases were partially offset by a $1.1 million decrease in amortization expense of developed technologies intangible assets.</w:t>
      </w:r>
    </w:p>
    <w:p>
      <w:pPr>
        <w:spacing w:after="0" w:line="157" w:lineRule="exact"/>
        <w:rPr>
          <w:sz w:val="20"/>
          <w:szCs w:val="20"/>
          <w:color w:val="auto"/>
        </w:rPr>
      </w:pPr>
    </w:p>
    <w:p>
      <w:pPr>
        <w:ind w:right="40" w:firstLine="510"/>
        <w:spacing w:after="0" w:line="301" w:lineRule="auto"/>
        <w:rPr>
          <w:sz w:val="20"/>
          <w:szCs w:val="20"/>
          <w:color w:val="auto"/>
        </w:rPr>
      </w:pPr>
      <w:r>
        <w:rPr>
          <w:rFonts w:ascii="Arial" w:cs="Arial" w:eastAsia="Arial" w:hAnsi="Arial"/>
          <w:sz w:val="16"/>
          <w:szCs w:val="16"/>
          <w:color w:val="auto"/>
        </w:rPr>
        <w:t>Product development expenses increased $7.9 million, or 28.0%, for the nine months ended September 30, 2020 as compared to the same period last year. The increase was primarily driven by a $4.5 million increase in personnel-related expenses due to headcount growth and higher bonus expense, the inclusion of $4.3 million of SCUF’s post-acquisition product development expenses, and a $3.6 million increase in other product development related expenses. These increases were partially offset by a $4.5 million decrease in amortization expense of developed technologies intangible assets.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and Other (Expense) Income, Net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8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6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54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center"/>
              <w:ind w:left="461"/>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center"/>
              <w:ind w:left="381"/>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4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61"/>
              <w:spacing w:after="0" w:line="155" w:lineRule="exact"/>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99"/>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61"/>
              <w:spacing w:after="0" w:line="155" w:lineRule="exact"/>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16"/>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r>
      <w:tr>
        <w:trPr>
          <w:trHeight w:val="155"/>
        </w:trPr>
        <w:tc>
          <w:tcPr>
            <w:tcW w:w="5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80" w:type="dxa"/>
            <w:vAlign w:val="bottom"/>
            <w:gridSpan w:val="4"/>
          </w:tcPr>
          <w:p>
            <w:pPr>
              <w:jc w:val="right"/>
              <w:ind w:right="60"/>
              <w:spacing w:after="0" w:line="155" w:lineRule="exact"/>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ind w:right="21"/>
              <w:spacing w:after="0"/>
              <w:rPr>
                <w:sz w:val="20"/>
                <w:szCs w:val="20"/>
                <w:color w:val="auto"/>
              </w:rPr>
            </w:pPr>
            <w:r>
              <w:rPr>
                <w:rFonts w:ascii="Arial" w:cs="Arial" w:eastAsia="Arial" w:hAnsi="Arial"/>
                <w:sz w:val="18"/>
                <w:szCs w:val="18"/>
                <w:color w:val="auto"/>
              </w:rPr>
              <w:t>(10,170)</w:t>
            </w:r>
          </w:p>
        </w:tc>
        <w:tc>
          <w:tcPr>
            <w:tcW w:w="48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(9,119)</w:t>
            </w:r>
          </w:p>
        </w:tc>
        <w:tc>
          <w:tcPr>
            <w:tcW w:w="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
              <w:spacing w:after="0"/>
              <w:rPr>
                <w:sz w:val="20"/>
                <w:szCs w:val="20"/>
                <w:color w:val="auto"/>
              </w:rPr>
            </w:pPr>
            <w:r>
              <w:rPr>
                <w:rFonts w:ascii="Arial" w:cs="Arial" w:eastAsia="Arial" w:hAnsi="Arial"/>
                <w:sz w:val="18"/>
                <w:szCs w:val="18"/>
                <w:color w:val="auto"/>
              </w:rPr>
              <w:t>(29,116)</w:t>
            </w:r>
          </w:p>
        </w:tc>
        <w:tc>
          <w:tcPr>
            <w:tcW w:w="50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(27,063)</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80" w:type="dxa"/>
            <w:vAlign w:val="bottom"/>
          </w:tcPr>
          <w:p>
            <w:pPr>
              <w:spacing w:after="0"/>
              <w:rPr>
                <w:sz w:val="20"/>
                <w:szCs w:val="20"/>
                <w:color w:val="auto"/>
              </w:rPr>
            </w:pPr>
          </w:p>
        </w:tc>
        <w:tc>
          <w:tcPr>
            <w:tcW w:w="1100" w:type="dxa"/>
            <w:vAlign w:val="bottom"/>
          </w:tcPr>
          <w:p>
            <w:pPr>
              <w:jc w:val="right"/>
              <w:ind w:right="81"/>
              <w:spacing w:after="0"/>
              <w:rPr>
                <w:sz w:val="20"/>
                <w:szCs w:val="20"/>
                <w:color w:val="auto"/>
              </w:rPr>
            </w:pPr>
            <w:r>
              <w:rPr>
                <w:rFonts w:ascii="Arial" w:cs="Arial" w:eastAsia="Arial" w:hAnsi="Arial"/>
                <w:sz w:val="18"/>
                <w:szCs w:val="18"/>
                <w:color w:val="auto"/>
              </w:rPr>
              <w:t>23</w:t>
            </w:r>
          </w:p>
        </w:tc>
        <w:tc>
          <w:tcPr>
            <w:tcW w:w="4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Arial" w:cs="Arial" w:eastAsia="Arial" w:hAnsi="Arial"/>
                <w:sz w:val="18"/>
                <w:szCs w:val="18"/>
                <w:color w:val="auto"/>
              </w:rPr>
              <w:t>(29)</w:t>
            </w:r>
          </w:p>
        </w:tc>
        <w:tc>
          <w:tcPr>
            <w:tcW w:w="50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(1,477)</w:t>
            </w:r>
          </w:p>
        </w:tc>
      </w:tr>
    </w:tbl>
    <w:p>
      <w:pPr>
        <w:spacing w:after="0" w:line="228" w:lineRule="exact"/>
        <w:rPr>
          <w:sz w:val="20"/>
          <w:szCs w:val="20"/>
          <w:color w:val="auto"/>
        </w:rPr>
      </w:pPr>
    </w:p>
    <w:p>
      <w:pPr>
        <w:ind w:right="200" w:firstLine="510"/>
        <w:spacing w:after="0" w:line="275" w:lineRule="auto"/>
        <w:rPr>
          <w:sz w:val="20"/>
          <w:szCs w:val="20"/>
          <w:color w:val="auto"/>
        </w:rPr>
      </w:pPr>
      <w:r>
        <w:rPr>
          <w:rFonts w:ascii="Arial" w:cs="Arial" w:eastAsia="Arial" w:hAnsi="Arial"/>
          <w:sz w:val="17"/>
          <w:szCs w:val="17"/>
          <w:color w:val="auto"/>
        </w:rPr>
        <w:t>Interest expense increased $1.1 million, or 11.5%, for the three months ended September 30, 2020 as compared to the same period last year. The increase was primarily due to a $2.9 million write-off of deferred debt discounts and issuance costs associated with the partial extinguishment of our First Lien Term Loan and the full extinguishment of our Second Lien Term Loan. The increase in interest expense from debt extinguishments was partially offset by lower interest paid on our term loans during the three months ended September 30, 2020 resulting from lower principal balance after the repayments as well as a decrease in interest from borrowings from our line of credit.</w:t>
      </w:r>
    </w:p>
    <w:p>
      <w:pPr>
        <w:spacing w:after="0" w:line="176"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Interest expense increased $2.1 million, or 7.6%, for the nine months ended September 30, 2020 as compared to the same period last year. The increase was primarily due to an aggregate of $3.3 million write-off of deferred debt discounts and issuance costs associated with the partial extinguishment of our First Lien Term Loan and the full extinguishment of our Second Lien Term Loan during the second and third quarter of 2020 and to a lesser extent, due to a $0.5 million loss recognized for the change in fair value of our interest rate cap contracts. The increase in interest expense was partially offset by a decrease in interest from borrowings from our line of credit.</w:t>
      </w:r>
    </w:p>
    <w:p>
      <w:pPr>
        <w:spacing w:after="0" w:line="188"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Other (expense) income, net is primarily comprised of foreign exchange gains and losses on cash, accounts receivable and intercompany balances denominated in currencies other than the functional currencies of our subsidiaries. Our foreign currency exposure is primarily driven by fluctuations in the foreign currency exchanges rates of the Euro, British Pound and the Chinese Yuan.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6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3"/>
              </w:rPr>
              <w:t>Three Months Ended</w:t>
            </w:r>
          </w:p>
        </w:tc>
        <w:tc>
          <w:tcPr>
            <w:tcW w:w="380" w:type="dxa"/>
            <w:vAlign w:val="bottom"/>
          </w:tcPr>
          <w:p>
            <w:pPr>
              <w:spacing w:after="0"/>
              <w:rPr>
                <w:sz w:val="14"/>
                <w:szCs w:val="14"/>
                <w:color w:val="auto"/>
              </w:rPr>
            </w:pPr>
          </w:p>
        </w:tc>
        <w:tc>
          <w:tcPr>
            <w:tcW w:w="1620" w:type="dxa"/>
            <w:vAlign w:val="bottom"/>
            <w:gridSpan w:val="2"/>
          </w:tcPr>
          <w:p>
            <w:pPr>
              <w:jc w:val="center"/>
              <w:ind w:left="279"/>
              <w:spacing w:after="0"/>
              <w:rPr>
                <w:sz w:val="20"/>
                <w:szCs w:val="20"/>
                <w:color w:val="auto"/>
              </w:rPr>
            </w:pPr>
            <w:r>
              <w:rPr>
                <w:rFonts w:ascii="Arial" w:cs="Arial" w:eastAsia="Arial" w:hAnsi="Arial"/>
                <w:sz w:val="14"/>
                <w:szCs w:val="14"/>
                <w:b w:val="1"/>
                <w:bCs w:val="1"/>
                <w:color w:val="auto"/>
                <w:w w:val="93"/>
              </w:rPr>
              <w:t>Nine Months Ended</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5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center"/>
              <w:ind w:left="558"/>
              <w:spacing w:after="0"/>
              <w:rPr>
                <w:sz w:val="20"/>
                <w:szCs w:val="20"/>
                <w:color w:val="auto"/>
              </w:rPr>
            </w:pPr>
            <w:r>
              <w:rPr>
                <w:rFonts w:ascii="Arial" w:cs="Arial" w:eastAsia="Arial" w:hAnsi="Arial"/>
                <w:sz w:val="14"/>
                <w:szCs w:val="14"/>
                <w:b w:val="1"/>
                <w:bCs w:val="1"/>
                <w:color w:val="auto"/>
                <w:w w:val="89"/>
              </w:rPr>
              <w:t>September 30,</w:t>
            </w:r>
          </w:p>
        </w:tc>
        <w:tc>
          <w:tcPr>
            <w:tcW w:w="8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center"/>
              <w:ind w:left="299"/>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5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18"/>
              <w:spacing w:after="0" w:line="155"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77"/>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39"/>
              <w:spacing w:after="0" w:line="155"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w w:val="83"/>
              </w:rPr>
              <w:t>2019</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5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40" w:type="dxa"/>
            <w:vAlign w:val="bottom"/>
            <w:gridSpan w:val="3"/>
          </w:tcPr>
          <w:p>
            <w:pPr>
              <w:jc w:val="right"/>
              <w:ind w:right="27"/>
              <w:spacing w:after="0" w:line="155" w:lineRule="exact"/>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Income (Loss) Before Income Taxes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ind w:right="178"/>
              <w:spacing w:after="0"/>
              <w:rPr>
                <w:sz w:val="20"/>
                <w:szCs w:val="20"/>
                <w:color w:val="auto"/>
              </w:rPr>
            </w:pPr>
            <w:r>
              <w:rPr>
                <w:rFonts w:ascii="Arial" w:cs="Arial" w:eastAsia="Arial" w:hAnsi="Arial"/>
                <w:sz w:val="18"/>
                <w:szCs w:val="18"/>
                <w:color w:val="auto"/>
              </w:rPr>
              <w:t>39,574</w:t>
            </w:r>
          </w:p>
        </w:tc>
        <w:tc>
          <w:tcPr>
            <w:tcW w:w="4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1,444</w:t>
            </w:r>
          </w:p>
        </w:tc>
        <w:tc>
          <w:tcPr>
            <w:tcW w:w="3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159"/>
              <w:spacing w:after="0"/>
              <w:rPr>
                <w:sz w:val="20"/>
                <w:szCs w:val="20"/>
                <w:color w:val="auto"/>
              </w:rPr>
            </w:pPr>
            <w:r>
              <w:rPr>
                <w:rFonts w:ascii="Arial" w:cs="Arial" w:eastAsia="Arial" w:hAnsi="Arial"/>
                <w:sz w:val="18"/>
                <w:szCs w:val="18"/>
                <w:color w:val="auto"/>
              </w:rPr>
              <w:t>70,323</w:t>
            </w:r>
          </w:p>
        </w:tc>
        <w:tc>
          <w:tcPr>
            <w:tcW w:w="54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(19,051)</w:t>
            </w:r>
          </w:p>
        </w:tc>
        <w:tc>
          <w:tcPr>
            <w:tcW w:w="20" w:type="dxa"/>
            <w:vAlign w:val="bottom"/>
          </w:tcPr>
          <w:p>
            <w:pPr>
              <w:spacing w:after="0"/>
              <w:rPr>
                <w:sz w:val="19"/>
                <w:szCs w:val="19"/>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00" w:type="dxa"/>
            <w:vAlign w:val="bottom"/>
          </w:tcPr>
          <w:p>
            <w:pPr>
              <w:spacing w:after="0"/>
              <w:rPr>
                <w:sz w:val="19"/>
                <w:szCs w:val="19"/>
                <w:color w:val="auto"/>
              </w:rPr>
            </w:pPr>
          </w:p>
        </w:tc>
        <w:tc>
          <w:tcPr>
            <w:tcW w:w="1260" w:type="dxa"/>
            <w:vAlign w:val="bottom"/>
          </w:tcPr>
          <w:p>
            <w:pPr>
              <w:jc w:val="right"/>
              <w:ind w:right="98"/>
              <w:spacing w:after="0"/>
              <w:rPr>
                <w:sz w:val="20"/>
                <w:szCs w:val="20"/>
                <w:color w:val="auto"/>
              </w:rPr>
            </w:pPr>
            <w:r>
              <w:rPr>
                <w:rFonts w:ascii="Arial" w:cs="Arial" w:eastAsia="Arial" w:hAnsi="Arial"/>
                <w:sz w:val="18"/>
                <w:szCs w:val="18"/>
                <w:color w:val="auto"/>
              </w:rPr>
              <w:t>(3,217)</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ind w:right="99"/>
              <w:spacing w:after="0"/>
              <w:rPr>
                <w:sz w:val="20"/>
                <w:szCs w:val="20"/>
                <w:color w:val="auto"/>
              </w:rPr>
            </w:pPr>
            <w:r>
              <w:rPr>
                <w:rFonts w:ascii="Arial" w:cs="Arial" w:eastAsia="Arial" w:hAnsi="Arial"/>
                <w:sz w:val="18"/>
                <w:szCs w:val="18"/>
                <w:color w:val="auto"/>
              </w:rPr>
              <w:t>(10,149)</w:t>
            </w: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4,645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Effective Tax Rate</w:t>
            </w: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4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5.2%</w:t>
            </w: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5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24.4%</w:t>
            </w:r>
          </w:p>
        </w:tc>
        <w:tc>
          <w:tcPr>
            <w:tcW w:w="20" w:type="dxa"/>
            <w:vAlign w:val="bottom"/>
          </w:tcPr>
          <w:p>
            <w:pPr>
              <w:spacing w:after="0"/>
              <w:rPr>
                <w:sz w:val="19"/>
                <w:szCs w:val="19"/>
                <w:color w:val="auto"/>
              </w:rPr>
            </w:pPr>
          </w:p>
        </w:tc>
      </w:tr>
      <w:tr>
        <w:trPr>
          <w:trHeight w:val="648"/>
        </w:trPr>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ind w:right="898"/>
              <w:spacing w:after="0"/>
              <w:rPr>
                <w:sz w:val="20"/>
                <w:szCs w:val="20"/>
                <w:color w:val="auto"/>
              </w:rPr>
            </w:pPr>
            <w:r>
              <w:rPr>
                <w:rFonts w:ascii="Arial" w:cs="Arial" w:eastAsia="Arial" w:hAnsi="Arial"/>
                <w:sz w:val="18"/>
                <w:szCs w:val="18"/>
                <w:color w:val="auto"/>
              </w:rPr>
              <w:t>34</w:t>
            </w: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0"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We are subject to income taxes in the United States and foreign jurisdictions in which we do business. These foreign jurisdictions have statutory tax rates different from those in the United States. Accordingly, our effective tax rates will vary depending on the relative proportion of foreign to United States income, the utilization of net operating loss and tax credit carry forwards, changes in geographic mix of income and expense, and changes in management’s assessment of matters such as the ability to realize deferred tax assets, and changes in tax laws.</w:t>
      </w:r>
    </w:p>
    <w:p>
      <w:pPr>
        <w:spacing w:after="0" w:line="171"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Our effective tax rates were tax expense of 8.1% and tax benefit of 5.2% for the three months ended September 30, 2020 and 2019, respectively, and tax expense of 14.4% and tax benefit of 24.4% for the nine months ended September 30, 2020 and 2019, respectively. The change in the effective income tax rate for the three months ended September 30, 2020, compared to the same period last year was primarily due to the mix of income and losses in the various tax jurisdictions in which we operate, as well as the recognition of a $1.5 million tax benefit in the three months ended September 30, 2019 versus a $4.3 million tax benefit recognized in the three months September 30, 2020, resulting from the change in management’s assessment of the realizability of certain deferred tax assets as a result of the Reorganization. The change in the effective tax rate for the nine months ended September 30, 2020, compared to the same period last year was primarily due to the recognition of a $4.3 million tax benefit in the nine months ended September 30, 2020 resulting from the change in management’s assessment of the realizability of certain deferred tax assets as a result of the Reorganization, and a $0.6 million one-time benefit from the change in tax law resulting from the enactment of the CARES Act in the first quarter 2020.</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Segment Net Revenue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net revenue by segment expressed both in dollars (thousands) and as a percentage of net revenue: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8"/>
          </w:tcPr>
          <w:p>
            <w:pPr>
              <w:jc w:val="right"/>
              <w:ind w:right="100"/>
              <w:spacing w:after="0"/>
              <w:rPr>
                <w:sz w:val="20"/>
                <w:szCs w:val="20"/>
                <w:color w:val="auto"/>
              </w:rPr>
            </w:pPr>
            <w:r>
              <w:rPr>
                <w:rFonts w:ascii="Arial" w:cs="Arial" w:eastAsia="Arial" w:hAnsi="Arial"/>
                <w:sz w:val="14"/>
                <w:szCs w:val="14"/>
                <w:b w:val="1"/>
                <w:bCs w:val="1"/>
                <w:color w:val="auto"/>
              </w:rPr>
              <w:t>Three Months Ended September 30,</w:t>
            </w:r>
          </w:p>
        </w:tc>
        <w:tc>
          <w:tcPr>
            <w:tcW w:w="5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7"/>
          </w:tcPr>
          <w:p>
            <w:pPr>
              <w:ind w:left="540"/>
              <w:spacing w:after="0"/>
              <w:rPr>
                <w:sz w:val="20"/>
                <w:szCs w:val="20"/>
                <w:color w:val="auto"/>
              </w:rPr>
            </w:pPr>
            <w:r>
              <w:rPr>
                <w:rFonts w:ascii="Arial" w:cs="Arial" w:eastAsia="Arial" w:hAnsi="Arial"/>
                <w:sz w:val="14"/>
                <w:szCs w:val="14"/>
                <w:b w:val="1"/>
                <w:bCs w:val="1"/>
                <w:color w:val="auto"/>
                <w:w w:val="98"/>
              </w:rPr>
              <w:t>Nine Months Ended September 30,</w:t>
            </w:r>
          </w:p>
        </w:tc>
        <w:tc>
          <w:tcPr>
            <w:tcW w:w="5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364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ind w:left="540"/>
              <w:spacing w:after="0" w:line="155"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r>
      <w:tr>
        <w:trPr>
          <w:trHeight w:val="223"/>
        </w:trPr>
        <w:tc>
          <w:tcPr>
            <w:tcW w:w="3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Gamer and Creator Peripherals Segment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161,555</w:t>
            </w:r>
          </w:p>
        </w:tc>
        <w:tc>
          <w:tcPr>
            <w:tcW w:w="2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35.3%</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70,606</w:t>
            </w:r>
          </w:p>
        </w:tc>
        <w:tc>
          <w:tcPr>
            <w:tcW w:w="2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24.8%</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347,531</w:t>
            </w:r>
          </w:p>
        </w:tc>
        <w:tc>
          <w:tcPr>
            <w:tcW w:w="2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30.3%</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200,084</w:t>
            </w:r>
          </w:p>
        </w:tc>
        <w:tc>
          <w:tcPr>
            <w:tcW w:w="2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26.0%</w:t>
            </w: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Memory Products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141,298</w:t>
            </w: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119,467</w:t>
            </w: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424,150</w:t>
            </w: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331,433</w:t>
            </w: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43.0</w:t>
            </w:r>
          </w:p>
        </w:tc>
        <w:tc>
          <w:tcPr>
            <w:tcW w:w="180" w:type="dxa"/>
            <w:vAlign w:val="bottom"/>
          </w:tcPr>
          <w:p>
            <w:pPr>
              <w:spacing w:after="0"/>
              <w:rPr>
                <w:sz w:val="19"/>
                <w:szCs w:val="19"/>
                <w:color w:val="auto"/>
              </w:rPr>
            </w:pPr>
          </w:p>
        </w:tc>
      </w:tr>
      <w:tr>
        <w:trPr>
          <w:trHeight w:val="229"/>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Other Component Products</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154,250</w:t>
            </w:r>
          </w:p>
        </w:tc>
        <w:tc>
          <w:tcPr>
            <w:tcW w:w="2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94,299</w:t>
            </w:r>
          </w:p>
        </w:tc>
        <w:tc>
          <w:tcPr>
            <w:tcW w:w="2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374,347</w:t>
            </w:r>
          </w:p>
        </w:tc>
        <w:tc>
          <w:tcPr>
            <w:tcW w:w="2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239,102</w:t>
            </w:r>
          </w:p>
        </w:tc>
        <w:tc>
          <w:tcPr>
            <w:tcW w:w="2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180" w:type="dxa"/>
            <w:vAlign w:val="bottom"/>
            <w:shd w:val="clear" w:color="auto" w:fill="CFF0FC"/>
          </w:tcPr>
          <w:p>
            <w:pPr>
              <w:spacing w:after="0"/>
              <w:rPr>
                <w:sz w:val="19"/>
                <w:szCs w:val="19"/>
                <w:color w:val="auto"/>
              </w:rPr>
            </w:pPr>
          </w:p>
        </w:tc>
      </w:tr>
      <w:tr>
        <w:trPr>
          <w:trHeight w:val="223"/>
        </w:trPr>
        <w:tc>
          <w:tcPr>
            <w:tcW w:w="3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w w:val="94"/>
              </w:rPr>
              <w:t>Gaming Components and Systems Segment</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295,548</w:t>
            </w:r>
          </w:p>
        </w:tc>
        <w:tc>
          <w:tcPr>
            <w:tcW w:w="2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213,766</w:t>
            </w:r>
          </w:p>
        </w:tc>
        <w:tc>
          <w:tcPr>
            <w:tcW w:w="2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798,497</w:t>
            </w:r>
          </w:p>
        </w:tc>
        <w:tc>
          <w:tcPr>
            <w:tcW w:w="2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570,535</w:t>
            </w:r>
          </w:p>
        </w:tc>
        <w:tc>
          <w:tcPr>
            <w:tcW w:w="2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180" w:type="dxa"/>
            <w:vAlign w:val="bottom"/>
            <w:tcBorders>
              <w:bottom w:val="single" w:sz="8" w:color="CFF0FC"/>
            </w:tcBorders>
          </w:tcPr>
          <w:p>
            <w:pPr>
              <w:spacing w:after="0"/>
              <w:rPr>
                <w:sz w:val="19"/>
                <w:szCs w:val="19"/>
                <w:color w:val="auto"/>
              </w:rPr>
            </w:pPr>
          </w:p>
        </w:tc>
      </w:tr>
      <w:tr>
        <w:trPr>
          <w:trHeight w:val="223"/>
        </w:trPr>
        <w:tc>
          <w:tcPr>
            <w:tcW w:w="36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Net Revenue</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457,103</w:t>
            </w:r>
          </w:p>
        </w:tc>
        <w:tc>
          <w:tcPr>
            <w:tcW w:w="2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284,372</w:t>
            </w:r>
          </w:p>
        </w:tc>
        <w:tc>
          <w:tcPr>
            <w:tcW w:w="2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1,146,028</w:t>
            </w:r>
          </w:p>
        </w:tc>
        <w:tc>
          <w:tcPr>
            <w:tcW w:w="2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770,619</w:t>
            </w:r>
          </w:p>
        </w:tc>
        <w:tc>
          <w:tcPr>
            <w:tcW w:w="2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36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Gamer and Creator Peripherals Segment</w:t>
      </w:r>
    </w:p>
    <w:p>
      <w:pPr>
        <w:spacing w:after="0" w:line="117"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Net revenue of the gamer and creator peripherals segment increased $90.9 million, or 128.8%, for the three months ended September 30, 2020 as compared to the same period last year, primarily due to strong sales growth of Elgato branded streaming products and growth across all product categories, in addition to the inclusion of SCUF post-acquisition revenue. We believe the strong revenue growth year-over-year is driven in part by the COVID-19 shelter-in-place orders as consumers spend more time working and gaming at home.</w:t>
      </w:r>
    </w:p>
    <w:p>
      <w:pPr>
        <w:spacing w:after="0" w:line="171" w:lineRule="exact"/>
        <w:rPr>
          <w:sz w:val="20"/>
          <w:szCs w:val="20"/>
          <w:color w:val="auto"/>
        </w:rPr>
      </w:pPr>
    </w:p>
    <w:p>
      <w:pPr>
        <w:ind w:right="120" w:firstLine="510"/>
        <w:spacing w:after="0" w:line="311" w:lineRule="auto"/>
        <w:rPr>
          <w:sz w:val="20"/>
          <w:szCs w:val="20"/>
          <w:color w:val="auto"/>
        </w:rPr>
      </w:pPr>
      <w:r>
        <w:rPr>
          <w:rFonts w:ascii="Arial" w:cs="Arial" w:eastAsia="Arial" w:hAnsi="Arial"/>
          <w:sz w:val="16"/>
          <w:szCs w:val="16"/>
          <w:color w:val="auto"/>
        </w:rPr>
        <w:t>Net revenue of the gamer and creator peripherals segment increased $147.4 million, or 73.7%, for the nine months ended September 30, 2020 as compared to the same period last year, primarily due to strong sales growth in sales of Elgato branded streaming products, we believe driven in part by the COVID-19 shelter-in-place orders as consumers spend more time working and gaming at home, and the inclusion of SCUF post-acquisition revenue.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 Components and Systems Segment</w:t>
      </w:r>
    </w:p>
    <w:p>
      <w:pPr>
        <w:spacing w:after="0" w:line="117" w:lineRule="exact"/>
        <w:rPr>
          <w:sz w:val="20"/>
          <w:szCs w:val="20"/>
          <w:color w:val="auto"/>
        </w:rPr>
      </w:pPr>
    </w:p>
    <w:p>
      <w:pPr>
        <w:jc w:val="both"/>
        <w:ind w:right="140" w:firstLine="510"/>
        <w:spacing w:after="0" w:line="263" w:lineRule="auto"/>
        <w:rPr>
          <w:sz w:val="20"/>
          <w:szCs w:val="20"/>
          <w:color w:val="auto"/>
        </w:rPr>
      </w:pPr>
      <w:r>
        <w:rPr>
          <w:rFonts w:ascii="Arial" w:cs="Arial" w:eastAsia="Arial" w:hAnsi="Arial"/>
          <w:sz w:val="18"/>
          <w:szCs w:val="18"/>
          <w:color w:val="auto"/>
        </w:rPr>
        <w:t>Net revenue of the gaming components and systems segment increased $81.8 million, or 38.3%, for the three months ended September 30, 2020 as compared to the same period last year, primarily as a result of strong sales growth across all products due to continued strong market demand, we believe driven in part by the COVID-19 shelter-in-place orders.</w:t>
      </w:r>
    </w:p>
    <w:p>
      <w:pPr>
        <w:spacing w:after="0" w:line="184" w:lineRule="exact"/>
        <w:rPr>
          <w:sz w:val="20"/>
          <w:szCs w:val="20"/>
          <w:color w:val="auto"/>
        </w:rPr>
      </w:pPr>
    </w:p>
    <w:p>
      <w:pPr>
        <w:ind w:right="100" w:firstLine="510"/>
        <w:spacing w:after="0" w:line="286" w:lineRule="auto"/>
        <w:rPr>
          <w:sz w:val="20"/>
          <w:szCs w:val="20"/>
          <w:color w:val="auto"/>
        </w:rPr>
      </w:pPr>
      <w:r>
        <w:rPr>
          <w:rFonts w:ascii="Arial" w:cs="Arial" w:eastAsia="Arial" w:hAnsi="Arial"/>
          <w:sz w:val="17"/>
          <w:szCs w:val="17"/>
          <w:color w:val="auto"/>
        </w:rPr>
        <w:t>Net revenue of the gaming components and systems segment increased $228.0 million, or 40.0%, for the nine months ended September 30, 2020 as compared to the same period last year, primarily as a result of strong sales growth across all products due to continued strong market demand, we believe driven in part by the COVID-19 shelter-in-place orders, and to a lesser extent, the inclusion of Origin post-acquisition revenue.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Segment Gross Profit and Gross Margin</w:t>
      </w:r>
    </w:p>
    <w:p>
      <w:pPr>
        <w:spacing w:after="0" w:line="117"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The following table sets forth our gross profit expressed in dollars (thousands) and gross margin (which we define as gross profit as a percentage of net revenue) by segment: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4"/>
                <w:szCs w:val="14"/>
                <w:b w:val="1"/>
                <w:bCs w:val="1"/>
                <w:color w:val="auto"/>
              </w:rPr>
              <w:t>Three Months Ended September 30,</w:t>
            </w: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8"/>
          </w:tcPr>
          <w:p>
            <w:pPr>
              <w:jc w:val="right"/>
              <w:ind w:right="120"/>
              <w:spacing w:after="0"/>
              <w:rPr>
                <w:sz w:val="20"/>
                <w:szCs w:val="20"/>
                <w:color w:val="auto"/>
              </w:rPr>
            </w:pPr>
            <w:r>
              <w:rPr>
                <w:rFonts w:ascii="Arial" w:cs="Arial" w:eastAsia="Arial" w:hAnsi="Arial"/>
                <w:sz w:val="14"/>
                <w:szCs w:val="14"/>
                <w:b w:val="1"/>
                <w:bCs w:val="1"/>
                <w:color w:val="auto"/>
              </w:rPr>
              <w:t>Nine Months Ended September 30,</w:t>
            </w:r>
          </w:p>
        </w:tc>
        <w:tc>
          <w:tcPr>
            <w:tcW w:w="4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41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r>
      <w:tr>
        <w:trPr>
          <w:trHeight w:val="223"/>
        </w:trPr>
        <w:tc>
          <w:tcPr>
            <w:tcW w:w="4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Gamer and Creator Peripherals Segment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60,010</w:t>
            </w:r>
          </w:p>
        </w:tc>
        <w:tc>
          <w:tcPr>
            <w:tcW w:w="2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37.1%</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19,948</w:t>
            </w:r>
          </w:p>
        </w:tc>
        <w:tc>
          <w:tcPr>
            <w:tcW w:w="2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28.3%</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120,886</w:t>
            </w:r>
          </w:p>
        </w:tc>
        <w:tc>
          <w:tcPr>
            <w:tcW w:w="2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34.8%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58,234</w:t>
            </w:r>
          </w:p>
        </w:tc>
        <w:tc>
          <w:tcPr>
            <w:tcW w:w="2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w w:val="93"/>
              </w:rPr>
              <w:t>29.1%</w:t>
            </w: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Memory Products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26,552</w:t>
            </w:r>
          </w:p>
        </w:tc>
        <w:tc>
          <w:tcPr>
            <w:tcW w:w="220" w:type="dxa"/>
            <w:vAlign w:val="bottom"/>
          </w:tcPr>
          <w:p>
            <w:pPr>
              <w:spacing w:after="0"/>
              <w:rPr>
                <w:sz w:val="19"/>
                <w:szCs w:val="19"/>
                <w:color w:val="auto"/>
              </w:rPr>
            </w:pPr>
          </w:p>
        </w:tc>
        <w:tc>
          <w:tcPr>
            <w:tcW w:w="480" w:type="dxa"/>
            <w:vAlign w:val="bottom"/>
          </w:tcPr>
          <w:p>
            <w:pPr>
              <w:ind w:left="140"/>
              <w:spacing w:after="0"/>
              <w:rPr>
                <w:sz w:val="20"/>
                <w:szCs w:val="20"/>
                <w:color w:val="auto"/>
              </w:rPr>
            </w:pPr>
            <w:r>
              <w:rPr>
                <w:rFonts w:ascii="Arial" w:cs="Arial" w:eastAsia="Arial" w:hAnsi="Arial"/>
                <w:sz w:val="18"/>
                <w:szCs w:val="18"/>
                <w:color w:val="auto"/>
                <w:w w:val="91"/>
              </w:rPr>
              <w:t>18.8</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21,882</w:t>
            </w:r>
          </w:p>
        </w:tc>
        <w:tc>
          <w:tcPr>
            <w:tcW w:w="220" w:type="dxa"/>
            <w:vAlign w:val="bottom"/>
          </w:tcPr>
          <w:p>
            <w:pPr>
              <w:spacing w:after="0"/>
              <w:rPr>
                <w:sz w:val="19"/>
                <w:szCs w:val="19"/>
                <w:color w:val="auto"/>
              </w:rPr>
            </w:pPr>
          </w:p>
        </w:tc>
        <w:tc>
          <w:tcPr>
            <w:tcW w:w="480" w:type="dxa"/>
            <w:vAlign w:val="bottom"/>
          </w:tcPr>
          <w:p>
            <w:pPr>
              <w:ind w:left="140"/>
              <w:spacing w:after="0"/>
              <w:rPr>
                <w:sz w:val="20"/>
                <w:szCs w:val="20"/>
                <w:color w:val="auto"/>
              </w:rPr>
            </w:pPr>
            <w:r>
              <w:rPr>
                <w:rFonts w:ascii="Arial" w:cs="Arial" w:eastAsia="Arial" w:hAnsi="Arial"/>
                <w:sz w:val="18"/>
                <w:szCs w:val="18"/>
                <w:color w:val="auto"/>
                <w:w w:val="91"/>
              </w:rPr>
              <w:t>18.3</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89,507</w:t>
            </w:r>
          </w:p>
        </w:tc>
        <w:tc>
          <w:tcPr>
            <w:tcW w:w="220" w:type="dxa"/>
            <w:vAlign w:val="bottom"/>
          </w:tcPr>
          <w:p>
            <w:pPr>
              <w:spacing w:after="0"/>
              <w:rPr>
                <w:sz w:val="19"/>
                <w:szCs w:val="19"/>
                <w:color w:val="auto"/>
              </w:rPr>
            </w:pPr>
          </w:p>
        </w:tc>
        <w:tc>
          <w:tcPr>
            <w:tcW w:w="460" w:type="dxa"/>
            <w:vAlign w:val="bottom"/>
          </w:tcPr>
          <w:p>
            <w:pPr>
              <w:ind w:left="140"/>
              <w:spacing w:after="0"/>
              <w:rPr>
                <w:sz w:val="20"/>
                <w:szCs w:val="20"/>
                <w:color w:val="auto"/>
              </w:rPr>
            </w:pPr>
            <w:r>
              <w:rPr>
                <w:rFonts w:ascii="Arial" w:cs="Arial" w:eastAsia="Arial" w:hAnsi="Arial"/>
                <w:sz w:val="18"/>
                <w:szCs w:val="18"/>
                <w:color w:val="auto"/>
                <w:w w:val="85"/>
              </w:rPr>
              <w:t>21.1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48,234</w:t>
            </w:r>
          </w:p>
        </w:tc>
        <w:tc>
          <w:tcPr>
            <w:tcW w:w="220" w:type="dxa"/>
            <w:vAlign w:val="bottom"/>
          </w:tcPr>
          <w:p>
            <w:pPr>
              <w:spacing w:after="0"/>
              <w:rPr>
                <w:sz w:val="19"/>
                <w:szCs w:val="19"/>
                <w:color w:val="auto"/>
              </w:rPr>
            </w:pPr>
          </w:p>
        </w:tc>
        <w:tc>
          <w:tcPr>
            <w:tcW w:w="460" w:type="dxa"/>
            <w:vAlign w:val="bottom"/>
          </w:tcPr>
          <w:p>
            <w:pPr>
              <w:ind w:left="140"/>
              <w:spacing w:after="0"/>
              <w:rPr>
                <w:sz w:val="20"/>
                <w:szCs w:val="20"/>
                <w:color w:val="auto"/>
              </w:rPr>
            </w:pPr>
            <w:r>
              <w:rPr>
                <w:rFonts w:ascii="Arial" w:cs="Arial" w:eastAsia="Arial" w:hAnsi="Arial"/>
                <w:sz w:val="18"/>
                <w:szCs w:val="18"/>
                <w:color w:val="auto"/>
                <w:w w:val="85"/>
              </w:rPr>
              <w:t>14.6</w:t>
            </w:r>
          </w:p>
        </w:tc>
        <w:tc>
          <w:tcPr>
            <w:tcW w:w="180" w:type="dxa"/>
            <w:vAlign w:val="bottom"/>
          </w:tcPr>
          <w:p>
            <w:pPr>
              <w:spacing w:after="0"/>
              <w:rPr>
                <w:sz w:val="19"/>
                <w:szCs w:val="19"/>
                <w:color w:val="auto"/>
              </w:rPr>
            </w:pPr>
          </w:p>
        </w:tc>
      </w:tr>
      <w:tr>
        <w:trPr>
          <w:trHeight w:val="229"/>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Other Component Products</w:t>
            </w: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41,382</w:t>
            </w:r>
          </w:p>
        </w:tc>
        <w:tc>
          <w:tcPr>
            <w:tcW w:w="2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w w:val="91"/>
              </w:rPr>
              <w:t>26.8</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18,397</w:t>
            </w:r>
          </w:p>
        </w:tc>
        <w:tc>
          <w:tcPr>
            <w:tcW w:w="2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w w:val="91"/>
              </w:rPr>
              <w:t>19.5</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101,237</w:t>
            </w:r>
          </w:p>
        </w:tc>
        <w:tc>
          <w:tcPr>
            <w:tcW w:w="2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w w:val="85"/>
              </w:rPr>
              <w:t>27.0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47,366</w:t>
            </w:r>
          </w:p>
        </w:tc>
        <w:tc>
          <w:tcPr>
            <w:tcW w:w="2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w w:val="85"/>
              </w:rPr>
              <w:t>19.8</w:t>
            </w:r>
          </w:p>
        </w:tc>
        <w:tc>
          <w:tcPr>
            <w:tcW w:w="180" w:type="dxa"/>
            <w:vAlign w:val="bottom"/>
            <w:shd w:val="clear" w:color="auto" w:fill="CFF0FC"/>
          </w:tcPr>
          <w:p>
            <w:pPr>
              <w:spacing w:after="0"/>
              <w:rPr>
                <w:sz w:val="19"/>
                <w:szCs w:val="19"/>
                <w:color w:val="auto"/>
              </w:rPr>
            </w:pPr>
          </w:p>
        </w:tc>
      </w:tr>
      <w:tr>
        <w:trPr>
          <w:trHeight w:val="223"/>
        </w:trPr>
        <w:tc>
          <w:tcPr>
            <w:tcW w:w="41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Gaming Components and Systems Segment</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67,934</w:t>
            </w:r>
          </w:p>
        </w:tc>
        <w:tc>
          <w:tcPr>
            <w:tcW w:w="22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1"/>
              </w:rPr>
              <w:t>23.0</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40,279</w:t>
            </w:r>
          </w:p>
        </w:tc>
        <w:tc>
          <w:tcPr>
            <w:tcW w:w="22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1"/>
              </w:rPr>
              <w:t>18.8</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190,744</w:t>
            </w:r>
          </w:p>
        </w:tc>
        <w:tc>
          <w:tcPr>
            <w:tcW w:w="2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85"/>
              </w:rPr>
              <w:t>23.9</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95,600</w:t>
            </w:r>
          </w:p>
        </w:tc>
        <w:tc>
          <w:tcPr>
            <w:tcW w:w="2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85"/>
              </w:rPr>
              <w:t>16.8</w:t>
            </w:r>
          </w:p>
        </w:tc>
        <w:tc>
          <w:tcPr>
            <w:tcW w:w="180" w:type="dxa"/>
            <w:vAlign w:val="bottom"/>
            <w:tcBorders>
              <w:bottom w:val="single" w:sz="8" w:color="CFF0FC"/>
            </w:tcBorders>
          </w:tcPr>
          <w:p>
            <w:pPr>
              <w:spacing w:after="0"/>
              <w:rPr>
                <w:sz w:val="19"/>
                <w:szCs w:val="19"/>
                <w:color w:val="auto"/>
              </w:rPr>
            </w:pPr>
          </w:p>
        </w:tc>
      </w:tr>
      <w:tr>
        <w:trPr>
          <w:trHeight w:val="223"/>
        </w:trPr>
        <w:tc>
          <w:tcPr>
            <w:tcW w:w="4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Gross Profit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127,944</w:t>
            </w:r>
          </w:p>
        </w:tc>
        <w:tc>
          <w:tcPr>
            <w:tcW w:w="2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28.0%</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60,227</w:t>
            </w:r>
          </w:p>
        </w:tc>
        <w:tc>
          <w:tcPr>
            <w:tcW w:w="2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21.2%</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311,630</w:t>
            </w:r>
          </w:p>
        </w:tc>
        <w:tc>
          <w:tcPr>
            <w:tcW w:w="2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27.2%</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153,834</w:t>
            </w:r>
          </w:p>
        </w:tc>
        <w:tc>
          <w:tcPr>
            <w:tcW w:w="2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w w:val="93"/>
              </w:rPr>
              <w:t>20.0%</w:t>
            </w:r>
          </w:p>
        </w:tc>
      </w:tr>
      <w:tr>
        <w:trPr>
          <w:trHeight w:val="20"/>
        </w:trPr>
        <w:tc>
          <w:tcPr>
            <w:tcW w:w="4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Gamer and Creator Peripherals Segment</w:t>
      </w:r>
    </w:p>
    <w:p>
      <w:pPr>
        <w:spacing w:after="0" w:line="117"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The gross profit of the gamer and creator peripherals segment increased in the three months ended September 30, 2020 by $40.1 million, or 200.8%, as compared to the same period last year. The gross profit of the gamer and creator peripherals segment increased in the nine months ended September 30, 2020 by $62.7 million, or 107.6%, as compared to the same period last year. The increase in gross profit for both the three- and nine-month periods was primarily due to strong revenue growth in those periods. Gross margin increased by 8.9% and 5.7% for the gamer and creator peripherals segment in the three- and nine-month periods, respectively, compared to the same periods last year, primarily driven by the increase in sales volume in the same periods, the addition of higher margin SCUF products, and the strong growth in sales of higher margin Elgato branded streaming products, coupled with less promotional activities.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 Components and Systems Segment</w:t>
      </w:r>
    </w:p>
    <w:p>
      <w:pPr>
        <w:spacing w:after="0" w:line="117" w:lineRule="exact"/>
        <w:rPr>
          <w:sz w:val="20"/>
          <w:szCs w:val="20"/>
          <w:color w:val="auto"/>
        </w:rPr>
      </w:pPr>
    </w:p>
    <w:p>
      <w:pPr>
        <w:ind w:right="140" w:firstLine="510"/>
        <w:spacing w:after="0" w:line="273" w:lineRule="auto"/>
        <w:rPr>
          <w:sz w:val="20"/>
          <w:szCs w:val="20"/>
          <w:color w:val="auto"/>
        </w:rPr>
      </w:pPr>
      <w:r>
        <w:rPr>
          <w:rFonts w:ascii="Arial" w:cs="Arial" w:eastAsia="Arial" w:hAnsi="Arial"/>
          <w:sz w:val="17"/>
          <w:szCs w:val="17"/>
          <w:color w:val="auto"/>
        </w:rPr>
        <w:t>The gross profit of the gaming components and systems segment increased in the three months ended September 30, 2020 by $27.7 million, or 68.7% as compared to the same period last year. The gross profit of the gaming components and systems segment increased in the nine months ended September 30, 2020 by $95.1 million, or 99.5% as compared to the same period last year. The increase in gross profit for both the three- and nine-month periods was primarily due to strong revenue growth in those periods. Gross margin increased by 4.1% and 7.1% for the gaming components and systems segment in the three- and nine-month periods, respectively, compared to the same periods last year, primarily driven by the increase in sales volume in the same periods in addition to product mix and less promotional activities.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360" w:firstLine="510"/>
        <w:spacing w:after="0" w:line="275" w:lineRule="auto"/>
        <w:rPr>
          <w:sz w:val="20"/>
          <w:szCs w:val="20"/>
          <w:color w:val="auto"/>
        </w:rPr>
      </w:pPr>
      <w:r>
        <w:rPr>
          <w:rFonts w:ascii="Arial" w:cs="Arial" w:eastAsia="Arial" w:hAnsi="Arial"/>
          <w:sz w:val="17"/>
          <w:szCs w:val="17"/>
          <w:color w:val="auto"/>
        </w:rPr>
        <w:t>To date, our principal sources of liquidity have been the net proceeds we received from private sales of equity securities, borrowings under our credit facilities, as well as payments received from customers purchasing our gear. On September 25, 2020, we completed our IPO which resulted in aggregate net proceeds of $118.6 million, after underwriting discounts and commissions, and before deducting offering costs of $11.8 million. As of September 30, 2020, we had cash and restricted cash, in aggregate of $120.1 million and $48.0 million capacity under our revolving credit facility. Our total borrowings outstanding as of September 30, 2020 consisted of $370.1 million of long-term debt.</w:t>
      </w:r>
    </w:p>
    <w:p>
      <w:pPr>
        <w:spacing w:after="0" w:line="176"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We anticipate our principal uses of cash will include repayments of debt and related interest, purchases of inventory, payroll and other operating expenses related to the development and marketing of our gear, and purchases of property and equipment and other contractual obligations for the foreseeable future. We believe that our existing cash balances and cash flow from operations will be sufficient to fund our principal uses of cash for at least the next 12 months. Our future capital requirements may vary materially from those currently planned and will depend on many factors, including our rate of revenue growth, the timing and extent of spending on research and development efforts and other business initiatives, the expansion of sales and marketing activities, the timing of new product introductions, market acceptance of our products and overall economic conditions. To the extent that current and anticipated future sources of liquidity are insufficient to fund our future business activities and requirements, we may be required to seek additional equity or debt financing. In addition, we may enter into other arrangements for potential investments in, or acquisitions of, complementary businesses, services or technologies, which could require us to seek additional equity or debt financing. The sale of additional equity would result in additional dilution to our stockholders. The incurrence of debt financing would result in debt service obligations and the instruments governing such debt could provide for operating and financial covenants that would restrict our operations. We cannot assure you that any such equity or debt financing will be available on favorable terms, or at all.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0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w w:val="93"/>
              </w:rPr>
              <w:t>Nine Months Ended September 30,</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ind w:left="640"/>
              <w:spacing w:after="0" w:line="155" w:lineRule="exact"/>
              <w:rPr>
                <w:sz w:val="20"/>
                <w:szCs w:val="20"/>
                <w:color w:val="auto"/>
              </w:rPr>
            </w:pPr>
            <w:r>
              <w:rPr>
                <w:rFonts w:ascii="Arial" w:cs="Arial" w:eastAsia="Arial" w:hAnsi="Arial"/>
                <w:sz w:val="14"/>
                <w:szCs w:val="14"/>
                <w:b w:val="1"/>
                <w:bCs w:val="1"/>
                <w:color w:val="auto"/>
                <w:w w:val="89"/>
              </w:rPr>
              <w:t>2020</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Operating activities</w:t>
            </w:r>
          </w:p>
        </w:tc>
        <w:tc>
          <w:tcPr>
            <w:tcW w:w="940" w:type="dxa"/>
            <w:vAlign w:val="bottom"/>
          </w:tcPr>
          <w:p>
            <w:pPr>
              <w:jc w:val="right"/>
              <w:ind w:right="762"/>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100,324</w:t>
            </w:r>
          </w:p>
        </w:tc>
        <w:tc>
          <w:tcPr>
            <w:tcW w:w="280" w:type="dxa"/>
            <w:vAlign w:val="bottom"/>
          </w:tcPr>
          <w:p>
            <w:pPr>
              <w:spacing w:after="0"/>
              <w:rPr>
                <w:sz w:val="19"/>
                <w:szCs w:val="19"/>
                <w:color w:val="auto"/>
              </w:rPr>
            </w:pPr>
          </w:p>
        </w:tc>
        <w:tc>
          <w:tcPr>
            <w:tcW w:w="960" w:type="dxa"/>
            <w:vAlign w:val="bottom"/>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1,134</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(5,908)</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5"/>
              </w:rPr>
              <w:t>(22,149)</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Financing activities</w:t>
            </w:r>
          </w:p>
        </w:tc>
        <w:tc>
          <w:tcPr>
            <w:tcW w:w="9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(26,371)</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5,178</w:t>
            </w:r>
          </w:p>
        </w:tc>
        <w:tc>
          <w:tcPr>
            <w:tcW w:w="120" w:type="dxa"/>
            <w:vAlign w:val="bottom"/>
          </w:tcPr>
          <w:p>
            <w:pPr>
              <w:spacing w:after="0"/>
              <w:rPr>
                <w:sz w:val="20"/>
                <w:szCs w:val="20"/>
                <w:color w:val="auto"/>
              </w:rPr>
            </w:pPr>
          </w:p>
        </w:tc>
      </w:tr>
    </w:tbl>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17"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Net cash provided by operating activities for the nine months ended September 30, 2020 was $100.3 million and consisted of net income of $60.2 million, non-cash adjustments of $35.7 million and $4.4 million from changes in our net operating assets and liabilities. The non-cash adjustments consisted primarily of amortization of intangibles and depreciation, stock-based compensation expense, loss on debt extinguishment and amortization of debt issuance costs. The net cash inflow from changes in our net operating assets and liabilities was primarily related to increase in accounts payable, other liabilities and accrued expenses and deferred revenue. The increase in accounts payable was mainly due to timing of payments and purchases with longer payment terms, and the increase in other liabilities and accrued expenses was mainly from an increase in the bonus accrual and a higher accrual for sales returns and customer incentives. The cash inflow was partially offset by an increase in inventory, accounts receivable and prepaid expenses and other assets.</w:t>
      </w:r>
    </w:p>
    <w:p>
      <w:pPr>
        <w:spacing w:after="0" w:line="192"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Net cash provided by operating activities for the nine months ended September 30, 2019 was $1.1 million and consisted of a net cash inflow of non-cash adjustments of $27.4 million, which was offset partially by a net loss of $14.4 million and $11.9 million from changes in our net operating assets and liabilities. The non-cash adjustments consisted primarily of amortization of intangibles and depreciation, stock-based compensation expense, amortization of debt issuance costs and loss on foreign exchange, which were partially offset by changes in deferred income taxes. The net cash outflow from changes in our net operating assets and liabilities was primarily related to increases in inventory, accounts receivable and prepaid expenses and other assets, which were partially offset by an increase in other liabilities and accrued expenses and accounts payable mainly due to timing of payments.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17"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Cash used in investing activities was $5.9 million for the nine months ended September 30, 2020 and consisted of $5.1 million for the purchase of capital equipment and software and $0.8 million for the acquisition of an immaterial business.</w:t>
      </w:r>
    </w:p>
    <w:p>
      <w:pPr>
        <w:spacing w:after="0" w:line="170" w:lineRule="exact"/>
        <w:rPr>
          <w:sz w:val="20"/>
          <w:szCs w:val="20"/>
          <w:color w:val="auto"/>
        </w:rPr>
      </w:pPr>
    </w:p>
    <w:p>
      <w:pPr>
        <w:ind w:right="60" w:firstLine="510"/>
        <w:spacing w:after="0" w:line="342" w:lineRule="auto"/>
        <w:rPr>
          <w:sz w:val="20"/>
          <w:szCs w:val="20"/>
          <w:color w:val="auto"/>
        </w:rPr>
      </w:pPr>
      <w:r>
        <w:rPr>
          <w:rFonts w:ascii="Arial" w:cs="Arial" w:eastAsia="Arial" w:hAnsi="Arial"/>
          <w:sz w:val="16"/>
          <w:szCs w:val="16"/>
          <w:color w:val="auto"/>
        </w:rPr>
        <w:t>Cash used in investing activities was $22.1 million for the nine months ended September 30, 2019 and consisted of $10.3 million payment for the deferred consideration of Elgato acquisition, $7.0 million for the purchase of capital equipment and software and $4.8 million for the acquisition of Origin.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17" w:lineRule="exact"/>
        <w:rPr>
          <w:sz w:val="20"/>
          <w:szCs w:val="20"/>
          <w:color w:val="auto"/>
        </w:rPr>
      </w:pPr>
    </w:p>
    <w:p>
      <w:pPr>
        <w:ind w:right="260" w:firstLine="510"/>
        <w:spacing w:after="0" w:line="259" w:lineRule="auto"/>
        <w:rPr>
          <w:sz w:val="20"/>
          <w:szCs w:val="20"/>
          <w:color w:val="auto"/>
        </w:rPr>
      </w:pPr>
      <w:r>
        <w:rPr>
          <w:rFonts w:ascii="Arial" w:cs="Arial" w:eastAsia="Arial" w:hAnsi="Arial"/>
          <w:sz w:val="18"/>
          <w:szCs w:val="18"/>
          <w:color w:val="auto"/>
        </w:rPr>
        <w:t>Cash used in financing activities was $26.4 million for the nine months ended September 30, 2020 and consisted of repayments of debt of $140.4 million and the payment of offering costs of $5.6 million. These cash outflows were partially offset by proceeds received from issuance of our common stock in connection with our IPO of $118.6 million, after deducting underwriting discounts and commissions, and proceeds received from exercises of stock options of $1.2 million.</w:t>
      </w:r>
    </w:p>
    <w:p>
      <w:pPr>
        <w:spacing w:after="0" w:line="187"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Cash provided by financing activities was $5.2 million for the nine months ended September 30, 2019 and consisted of borrowings under our credit facilities of $8.7 million. The cash inflow was partially offset by the repayment of debt of $2.8 million, repurchase of common stock of $0.6 million and payment of debt issuance costs of $0.2 million.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 and Dividend</w:t>
      </w:r>
    </w:p>
    <w:p>
      <w:pPr>
        <w:spacing w:after="0" w:line="117"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In August 2017, we entered into a syndicated First Lien Credit and Guaranty Agreement, or the First Lien, with various financial institutions. The First Lien originally provided a $235 million term loan, or the First Lien Term Loan, for a business acquisition and to repay existing indebtedness of the acquired company and a $50 million revolving line-of-credit, or the Revolver. The First Lien and the Revolver mature on August 28, 2024 and August 28, 2022,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120" w:firstLine="510"/>
        <w:spacing w:after="0" w:line="311" w:lineRule="auto"/>
        <w:rPr>
          <w:sz w:val="20"/>
          <w:szCs w:val="20"/>
          <w:color w:val="auto"/>
        </w:rPr>
      </w:pPr>
      <w:r>
        <w:rPr>
          <w:rFonts w:ascii="Arial" w:cs="Arial" w:eastAsia="Arial" w:hAnsi="Arial"/>
          <w:sz w:val="16"/>
          <w:szCs w:val="16"/>
          <w:color w:val="auto"/>
        </w:rPr>
        <w:t>Subsequently, we entered into several amendments to the First Lien and the principal amount of the First Lien Term Loan was increased by $10 million in 2017 and increased by $115 million in each of 2018 and 2019. The increase in First Lien in 2018 was primarily to fund an $85 million dividend distribution to the unitholders of EagleTree and for operational needs. The increase in the First Lien in 2019 was primarily to fund the SCUF Acquisition.</w:t>
      </w:r>
    </w:p>
    <w:p>
      <w:pPr>
        <w:spacing w:after="0" w:line="149"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The First Lien Term Loan initially carried interest at a rate equal to, at our election, either the (a) greatest of (i) the prime rate, (ii) sum of the Federal Funds Effective Rate plus 0.5%, (iii) one month LIBOR plus 1.0% and (iv) 2%, plus a margin of 3.5%, or (b) the greater of (i) LIBOR and (ii) 1.0%, plus a margin of 4.5%. The Revolver initially carried interest at a rate equal to, at our election, either the (a) greatest of (i) the prime rate, (ii) sum of the Federal Funds Effective Rate plus 0.5%, (iii) one month LIBOR plus 1.0% and (iv) 2%, plus 3.5%, or (b) the greater of (i) LIBOR and (ii) 1.0%, plus a margin of 4.5%. As a result of the First Lien amendment in October 2018, the margin for the First Lien term loan and Revolver margin were both changed to range from 2.75% to 3.25% for base rate loans and to range from 3.75% to 4.25% for Eurodollar loans, in each case, based on our net leverage ratio.</w:t>
      </w:r>
    </w:p>
    <w:p>
      <w:pPr>
        <w:spacing w:after="0" w:line="164" w:lineRule="exact"/>
        <w:rPr>
          <w:sz w:val="20"/>
          <w:szCs w:val="20"/>
          <w:color w:val="auto"/>
        </w:rPr>
      </w:pPr>
    </w:p>
    <w:p>
      <w:pPr>
        <w:jc w:val="both"/>
        <w:ind w:right="80" w:firstLine="510"/>
        <w:spacing w:after="0" w:line="275" w:lineRule="auto"/>
        <w:rPr>
          <w:sz w:val="20"/>
          <w:szCs w:val="20"/>
          <w:color w:val="auto"/>
        </w:rPr>
      </w:pPr>
      <w:r>
        <w:rPr>
          <w:rFonts w:ascii="Arial" w:cs="Arial" w:eastAsia="Arial" w:hAnsi="Arial"/>
          <w:sz w:val="17"/>
          <w:szCs w:val="17"/>
          <w:color w:val="auto"/>
        </w:rPr>
        <w:t>Additionally, new contingent repayment provisions were added as a result of the First Lien amendment in October 2018. Five business days after our IPO, we were required to prepay all amounts (principal and interest) outstanding under the Second Lien Term Loan (as defined below). Concurrently, we were also required to prepay the First Lien Term Loan in an amount equal to the proceeds from the IPO, less the amount used to repay the Second Lien Term Loan, multiplied by 50%. Accordingly, in September 2020, with the IPO proceeds, we repaid the mandatory minimum amount of $55.8 million and made an additional $30.8 million voluntary repayment from the use of the IPO proceeds.</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may prepay the First Lien Term Loan and the Revolver at any time without premium or penalty other than customary LIBOR breakage.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According to the Consolidated Excess Cash Flow clause as defined in the First Lien, in April 2020, we prepaid $2.6 million of the First Lien Term Loan.</w:t>
      </w:r>
    </w:p>
    <w:p>
      <w:pPr>
        <w:spacing w:after="0" w:line="234"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In August 2017, we also entered into a syndicated Second Lien Credit and Guaranty Agreement, or the Second Lien, with various financial institutions. The Second Lien initially provided a $65 million term loan, or the Second Lien Term Loan, with a maturity date of August 28, 2025, for a business acquisition and for general corporate operations purposes. The Second Lien Term Loan initially carried interest at a base rate equal to that of the First Lien loan, plus a margin of 7.25% for base rate loans and 8.25% for Eurodollar loans. In October 2017, we entered into an amendment to the Second Lien and the principal amount of the Second Lien Term Loan was reduced by $15 million and the applicable interest rate margins for both the base rate loans and Eurodollar loans were increased by 0.25%.</w:t>
      </w:r>
    </w:p>
    <w:p>
      <w:pPr>
        <w:spacing w:after="0" w:line="192" w:lineRule="exact"/>
        <w:rPr>
          <w:sz w:val="20"/>
          <w:szCs w:val="20"/>
          <w:color w:val="auto"/>
        </w:rPr>
      </w:pPr>
    </w:p>
    <w:p>
      <w:pPr>
        <w:jc w:val="both"/>
        <w:ind w:right="140" w:firstLine="510"/>
        <w:spacing w:after="0" w:line="311" w:lineRule="auto"/>
        <w:rPr>
          <w:sz w:val="20"/>
          <w:szCs w:val="20"/>
          <w:color w:val="auto"/>
        </w:rPr>
      </w:pPr>
      <w:r>
        <w:rPr>
          <w:rFonts w:ascii="Arial" w:cs="Arial" w:eastAsia="Arial" w:hAnsi="Arial"/>
          <w:sz w:val="16"/>
          <w:szCs w:val="16"/>
          <w:color w:val="auto"/>
        </w:rPr>
        <w:t>We had the ability to prepay the Second Lien Term Loan any time after the first and second anniversary without premium or penalty. In the second and third quarter of 2020, with excess cash on hand, we repaid an aggregate of $50 million of the outstanding principal balance of the Second Lien Term Loan and following this repayment, the Second Lien Term Loan was fully repaid and all obligations and covenants thereunder were terminated.</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accrued and unpaid interest on the borrowed amounts is due and payable on a quarterly basis.</w:t>
      </w:r>
    </w:p>
    <w:p>
      <w:pPr>
        <w:spacing w:after="0" w:line="225" w:lineRule="exact"/>
        <w:rPr>
          <w:sz w:val="20"/>
          <w:szCs w:val="20"/>
          <w:color w:val="auto"/>
        </w:rPr>
      </w:pPr>
    </w:p>
    <w:p>
      <w:pPr>
        <w:ind w:right="200" w:firstLine="510"/>
        <w:spacing w:after="0" w:line="257" w:lineRule="auto"/>
        <w:rPr>
          <w:sz w:val="20"/>
          <w:szCs w:val="20"/>
          <w:color w:val="auto"/>
        </w:rPr>
      </w:pPr>
      <w:r>
        <w:rPr>
          <w:rFonts w:ascii="Arial" w:cs="Arial" w:eastAsia="Arial" w:hAnsi="Arial"/>
          <w:sz w:val="18"/>
          <w:szCs w:val="18"/>
          <w:color w:val="auto"/>
        </w:rPr>
        <w:t>Our obligation under the First Lien is secured by substantially all of our personal property assets and those of our United States-organized subsidiaries, including intellectual property. The First Lien Term Loan includes customary restrictive covenants that impose operating and financial restrictions on us, including restrictions on our ability to take actions that could be in our best interests. These restrictive covenants include operating covenants restricting, among other things, our ability to incur additional indebtedness, effect certain acquisitions or make other fundamental changes. We were in compliance with all of the covenants as of September 30, 2020.</w:t>
      </w:r>
    </w:p>
    <w:p>
      <w:pPr>
        <w:spacing w:after="0" w:line="188"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In addition, the First Lien contains events of default that include, among others, non-payment of principal, interest or fees, breach of covenants, inaccuracy of representations and warranties, cross defaults to certain other indebtedness, bankruptcy and insolvency events, material judgments and events constituting a change of control. Upon the occurrence and during the continuance of an event of default, interest on the obligations may accrue at an increased rate in the case of a non-payment or bankruptcy and insolvency and the lenders may accelerate our obligations under the First Lien Term Loan, except that acceleration will be automatic in the case of bankruptcy and insolvency events of default.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Other Commitments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contractual obligations and commitments as of September 30, 2020:</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jc w:val="center"/>
              <w:ind w:left="598"/>
              <w:spacing w:after="0"/>
              <w:rPr>
                <w:sz w:val="20"/>
                <w:szCs w:val="20"/>
                <w:color w:val="auto"/>
              </w:rPr>
            </w:pPr>
            <w:r>
              <w:rPr>
                <w:rFonts w:ascii="Arial" w:cs="Arial" w:eastAsia="Arial" w:hAnsi="Arial"/>
                <w:sz w:val="14"/>
                <w:szCs w:val="14"/>
                <w:b w:val="1"/>
                <w:bCs w:val="1"/>
                <w:color w:val="auto"/>
                <w:w w:val="92"/>
              </w:rPr>
              <w:t>Payments Due by Period</w:t>
            </w: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6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1"/>
              </w:rPr>
              <w:t>Less than</w:t>
            </w:r>
          </w:p>
        </w:tc>
        <w:tc>
          <w:tcPr>
            <w:tcW w:w="220" w:type="dxa"/>
            <w:vAlign w:val="bottom"/>
          </w:tcPr>
          <w:p>
            <w:pPr>
              <w:spacing w:after="0"/>
              <w:rPr>
                <w:sz w:val="11"/>
                <w:szCs w:val="11"/>
                <w:color w:val="auto"/>
              </w:rPr>
            </w:pPr>
          </w:p>
        </w:tc>
        <w:tc>
          <w:tcPr>
            <w:tcW w:w="800" w:type="dxa"/>
            <w:vAlign w:val="bottom"/>
          </w:tcPr>
          <w:p>
            <w:pPr>
              <w:jc w:val="center"/>
              <w:ind w:right="136"/>
              <w:spacing w:after="0" w:line="133" w:lineRule="exact"/>
              <w:rPr>
                <w:sz w:val="20"/>
                <w:szCs w:val="20"/>
                <w:color w:val="auto"/>
              </w:rPr>
            </w:pPr>
            <w:r>
              <w:rPr>
                <w:rFonts w:ascii="Arial" w:cs="Arial" w:eastAsia="Arial" w:hAnsi="Arial"/>
                <w:sz w:val="14"/>
                <w:szCs w:val="14"/>
                <w:b w:val="1"/>
                <w:bCs w:val="1"/>
                <w:color w:val="auto"/>
                <w:w w:val="88"/>
              </w:rPr>
              <w:t>1-3</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ind w:right="316"/>
              <w:spacing w:after="0" w:line="133" w:lineRule="exact"/>
              <w:rPr>
                <w:sz w:val="20"/>
                <w:szCs w:val="20"/>
                <w:color w:val="auto"/>
              </w:rPr>
            </w:pPr>
            <w:r>
              <w:rPr>
                <w:rFonts w:ascii="Arial" w:cs="Arial" w:eastAsia="Arial" w:hAnsi="Arial"/>
                <w:sz w:val="14"/>
                <w:szCs w:val="14"/>
                <w:b w:val="1"/>
                <w:bCs w:val="1"/>
                <w:color w:val="auto"/>
              </w:rPr>
              <w:t>3-5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76"/>
              <w:spacing w:after="0" w:line="133" w:lineRule="exact"/>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6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1 Year</w:t>
            </w:r>
          </w:p>
        </w:tc>
        <w:tc>
          <w:tcPr>
            <w:tcW w:w="220" w:type="dxa"/>
            <w:vAlign w:val="bottom"/>
          </w:tcPr>
          <w:p>
            <w:pPr>
              <w:spacing w:after="0"/>
              <w:rPr>
                <w:sz w:val="14"/>
                <w:szCs w:val="14"/>
                <w:color w:val="auto"/>
              </w:rPr>
            </w:pPr>
          </w:p>
        </w:tc>
        <w:tc>
          <w:tcPr>
            <w:tcW w:w="800" w:type="dxa"/>
            <w:vAlign w:val="bottom"/>
          </w:tcPr>
          <w:p>
            <w:pPr>
              <w:jc w:val="center"/>
              <w:ind w:right="136"/>
              <w:spacing w:after="0"/>
              <w:rPr>
                <w:sz w:val="20"/>
                <w:szCs w:val="20"/>
                <w:color w:val="auto"/>
              </w:rPr>
            </w:pPr>
            <w:r>
              <w:rPr>
                <w:rFonts w:ascii="Arial" w:cs="Arial" w:eastAsia="Arial" w:hAnsi="Arial"/>
                <w:sz w:val="14"/>
                <w:szCs w:val="14"/>
                <w:b w:val="1"/>
                <w:bCs w:val="1"/>
                <w:color w:val="auto"/>
                <w:w w:val="89"/>
              </w:rPr>
              <w:t>Years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155"/>
        </w:trPr>
        <w:tc>
          <w:tcPr>
            <w:tcW w:w="36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Debt principal and interest </w:t>
            </w:r>
            <w:r>
              <w:rPr>
                <w:rFonts w:ascii="Arial" w:cs="Arial" w:eastAsia="Arial" w:hAnsi="Arial"/>
                <w:sz w:val="15"/>
                <w:szCs w:val="15"/>
                <w:color w:val="auto"/>
              </w:rPr>
              <w:t>(1)</w:t>
            </w:r>
          </w:p>
        </w:tc>
        <w:tc>
          <w:tcPr>
            <w:tcW w:w="17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448,109</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4,576</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36,306</w:t>
            </w:r>
          </w:p>
        </w:tc>
        <w:tc>
          <w:tcPr>
            <w:tcW w:w="4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407,227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80" w:type="dxa"/>
            <w:vAlign w:val="bottom"/>
          </w:tcPr>
          <w:p>
            <w:pPr>
              <w:spacing w:after="0"/>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15"/>
                <w:szCs w:val="15"/>
                <w:color w:val="auto"/>
              </w:rPr>
              <w:t>(2)</w:t>
            </w: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103,094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98,525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4,569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Operating leases </w:t>
            </w:r>
            <w:r>
              <w:rPr>
                <w:rFonts w:ascii="Arial" w:cs="Arial" w:eastAsia="Arial" w:hAnsi="Arial"/>
                <w:sz w:val="15"/>
                <w:szCs w:val="15"/>
                <w:color w:val="auto"/>
              </w:rPr>
              <w:t>(3)</w:t>
            </w:r>
          </w:p>
        </w:tc>
        <w:tc>
          <w:tcPr>
            <w:tcW w:w="15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28,912</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2,310</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15,444</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9,171</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80" w:type="dxa"/>
            <w:vAlign w:val="bottom"/>
          </w:tcPr>
          <w:p>
            <w:pPr>
              <w:spacing w:after="0"/>
              <w:rPr>
                <w:sz w:val="20"/>
                <w:szCs w:val="20"/>
                <w:color w:val="auto"/>
              </w:rPr>
            </w:pPr>
            <w:r>
              <w:rPr>
                <w:rFonts w:ascii="Arial" w:cs="Arial" w:eastAsia="Arial" w:hAnsi="Arial"/>
                <w:sz w:val="18"/>
                <w:szCs w:val="18"/>
                <w:color w:val="auto"/>
              </w:rPr>
              <w:t>Total</w:t>
            </w:r>
          </w:p>
        </w:tc>
        <w:tc>
          <w:tcPr>
            <w:tcW w:w="15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580,115</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105,411</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56,319</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416,398</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880" w:right="440" w:hanging="508"/>
        <w:spacing w:after="0" w:line="293" w:lineRule="auto"/>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Represents our syndicated First Lien Term Loan and our anticipated repayment schedule for the loan as of September 30, 2020. See Note 8 “Debt” to our condensed combined consolidated financial statements for more information.</w:t>
      </w:r>
    </w:p>
    <w:p>
      <w:pPr>
        <w:spacing w:after="0" w:line="158" w:lineRule="exact"/>
        <w:rPr>
          <w:rFonts w:ascii="Arial" w:cs="Arial" w:eastAsia="Arial" w:hAnsi="Arial"/>
          <w:sz w:val="16"/>
          <w:szCs w:val="16"/>
          <w:color w:val="auto"/>
        </w:rPr>
      </w:pPr>
    </w:p>
    <w:p>
      <w:pPr>
        <w:ind w:left="880" w:right="500" w:hanging="508"/>
        <w:spacing w:after="0" w:line="293" w:lineRule="auto"/>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Represents an estimate of our non-cancelable open purchase orders and contractual obligations in the ordinary course of business for which we have not received the goods or services as of September 30, 2020.</w:t>
      </w:r>
    </w:p>
    <w:p>
      <w:pPr>
        <w:spacing w:after="0" w:line="225" w:lineRule="exact"/>
        <w:rPr>
          <w:rFonts w:ascii="Arial" w:cs="Arial" w:eastAsia="Arial" w:hAnsi="Arial"/>
          <w:sz w:val="16"/>
          <w:szCs w:val="16"/>
          <w:color w:val="auto"/>
        </w:rPr>
      </w:pPr>
    </w:p>
    <w:p>
      <w:pPr>
        <w:ind w:left="880" w:hanging="508"/>
        <w:spacing w:after="0"/>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Consists of contractual obligations from our non-cancellable operating leases for office and warehouse spaces.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not entered into any off-balance sheet arrangements and do not have any holdings in variable interest entities.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Polices and Estimates</w:t>
      </w:r>
    </w:p>
    <w:p>
      <w:pPr>
        <w:spacing w:after="0" w:line="121"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condensed combined consolidated financial statements, which have been prepared in accordance with GAAP. The preparation of these condensed combined consolidated financial statements requires us to make estimates and assumptions that affect the reported amounts of assets and liabilities and the disclosure of contingent assets and liabilities at the date of the condensed combined consolidated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77"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auto"/>
        </w:rPr>
        <w:t>There have been no material changes to our critical accounting policies and estimates during the three months ended September 30, 2020 as compared to the critical accounting policies and estimates described in our Management's Discussion and Analysis of Financial Condition and Results of Operations, set forth in our Prospectus.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Refer to Note 1 to the condensed combined consolidated financial statements included in this Quarterly Report on Form 10-Q for recent accounting pronouncements adopted and to be adopted.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120" w:firstLine="510"/>
        <w:spacing w:after="0" w:line="272" w:lineRule="auto"/>
        <w:rPr>
          <w:sz w:val="20"/>
          <w:szCs w:val="20"/>
          <w:color w:val="auto"/>
        </w:rPr>
      </w:pPr>
      <w:r>
        <w:rPr>
          <w:rFonts w:ascii="Arial" w:cs="Arial" w:eastAsia="Arial" w:hAnsi="Arial"/>
          <w:sz w:val="17"/>
          <w:szCs w:val="17"/>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fluctuations in interest rates and foreign currency exchange rates. As of September 30, 2020, we had cash and restricted cash of $120.1 million, which consisted primarily of bank deposits. Our cash is held for working capital purposes. As of September 30, 2020, we had indebtedness of $370.1 million under the syndicated First Lien Term Loan which bears variable market rates, primarily LIBOR. A significant change in these market rates may adversely affect our operating results. As of September 30, 2020, a hypothetical 100 basis point change in interest rates would result in a change to interest expense by approximately $0.1 million and $0.4 million for the three and nine months ended September 30, 2020, respectively.</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Approximately 19% of our net revenue in the nine months ended September 30, 2020 was denominated in foreign currencies. Any unfavorable movement in the exchange rate between U.S. dollars and the currencies in which we conduct sales in foreign countries could have an adverse impact on our net revenue and gross margins as we may have to have to adjust local currency product pricing due to competitive pressures if there is significant volatility in foreign currency exchange rates. Our operating expenses are denominated in the currencies of the countries in which our operations are located, which are primarily in the United States, Europe, China and Taiwan. Our operating results and cash flows are, therefore, subject to fluctuations due to changes in foreign currency exchange rates.</w:t>
      </w:r>
    </w:p>
    <w:p>
      <w:pPr>
        <w:spacing w:after="0" w:line="192" w:lineRule="exact"/>
        <w:rPr>
          <w:sz w:val="20"/>
          <w:szCs w:val="20"/>
          <w:color w:val="auto"/>
        </w:rPr>
      </w:pPr>
    </w:p>
    <w:p>
      <w:pPr>
        <w:ind w:right="240" w:firstLine="510"/>
        <w:spacing w:after="0" w:line="296" w:lineRule="auto"/>
        <w:rPr>
          <w:sz w:val="20"/>
          <w:szCs w:val="20"/>
          <w:color w:val="auto"/>
        </w:rPr>
      </w:pPr>
      <w:r>
        <w:rPr>
          <w:rFonts w:ascii="Arial" w:cs="Arial" w:eastAsia="Arial" w:hAnsi="Arial"/>
          <w:sz w:val="16"/>
          <w:szCs w:val="16"/>
          <w:color w:val="auto"/>
        </w:rPr>
        <w:t>The primary currency fluctuations to which we are exposed are the Euro, British Pound and the Chinese Yuan. We enter into forward currency contracts to reduce the short-term effects of currency fluctuations on Euro, British Pound, and Chinese Yuan denominated cash, accounts receivable, and intercompany receivable and payable balances. These forward contracts generally mature within three months and we do not enter into foreign currency forward contracts for trading purposes. The outstanding notional principal amount was $21.5 million and $18.3 million as of September 30, 2020 and December 31, 2019, respectively. The gains or losses on these contracts are recognized in earnings based on the changes in fair value.</w:t>
      </w:r>
    </w:p>
    <w:p>
      <w:pPr>
        <w:spacing w:after="0" w:line="161"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 impact of changes in foreign currency rates recognized in other (expense) income, net was $(0.2) million and $(0.4) million for the three months ended September 30, 2020 and 2019, respectively, and $(0.3) million and $(1.5) million for the nine months ended September 30, 2020 and 2019, respectively.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Effectiveness of Controls and Procedures</w:t>
      </w:r>
    </w:p>
    <w:p>
      <w:pPr>
        <w:spacing w:after="0" w:line="131" w:lineRule="exact"/>
        <w:rPr>
          <w:sz w:val="20"/>
          <w:szCs w:val="20"/>
          <w:color w:val="auto"/>
        </w:rPr>
      </w:pPr>
    </w:p>
    <w:p>
      <w:pPr>
        <w:ind w:right="140" w:firstLine="510"/>
        <w:spacing w:after="0" w:line="272" w:lineRule="auto"/>
        <w:rPr>
          <w:sz w:val="20"/>
          <w:szCs w:val="20"/>
          <w:color w:val="auto"/>
        </w:rPr>
      </w:pPr>
      <w:r>
        <w:rPr>
          <w:rFonts w:ascii="Arial" w:cs="Arial" w:eastAsia="Arial" w:hAnsi="Arial"/>
          <w:sz w:val="17"/>
          <w:szCs w:val="17"/>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there can be no assurance that such improvements will be sufficient to provide us with effective internal control over financial reporting.</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Our management, with the participation of our principal executive officer and our principal financial officer, has evaluated the effectiveness of our disclosure controls and procedures as of the end of the period covered by this Quarterly Report on Form 10-Q.</w:t>
      </w:r>
    </w:p>
    <w:p>
      <w:pPr>
        <w:spacing w:after="0" w:line="170"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Based on this evaluation, our chief executive officer and chief financial officer concluded that, as of September 30, 2020,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31" w:lineRule="exact"/>
        <w:rPr>
          <w:sz w:val="20"/>
          <w:szCs w:val="20"/>
          <w:color w:val="auto"/>
        </w:rPr>
      </w:pPr>
    </w:p>
    <w:p>
      <w:pPr>
        <w:ind w:right="700" w:firstLine="510"/>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September 30, 2020 that have materially affected, or are reasonably likely to materially affect, our internal control over financial reporting.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We may from time to time be involved in various legal proceedings of a character normally incident to the ordinary course of our business. Although the outcome of any pending matters, and the amount, if any, of our ultimate liability and any other forms of remedies with respect to these matters, cannot be determined or predicted with certainty, we do not believe that the ultimate outcome of these matters will have a material adverse effect on our business, results of operations or financial condition.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256"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Quarterly Report on Form 10-Q and our other filings with the Securities and Exchange Commission (SEC) before making investment decisions regarding our common stock.</w:t>
      </w:r>
    </w:p>
    <w:p>
      <w:pPr>
        <w:spacing w:after="0" w:line="171" w:lineRule="exact"/>
        <w:rPr>
          <w:sz w:val="20"/>
          <w:szCs w:val="20"/>
          <w:color w:val="auto"/>
        </w:rPr>
      </w:pPr>
    </w:p>
    <w:p>
      <w:pPr>
        <w:ind w:left="740" w:right="20" w:hanging="368"/>
        <w:spacing w:after="0" w:line="277"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competitive position and success in the market depend to a significant degree upon our ability to build and maintain the strength of our brand among gaming enthusiasts and any failure to build and maintain our brand may seriously harm our business.</w:t>
      </w:r>
    </w:p>
    <w:p>
      <w:pPr>
        <w:spacing w:after="0" w:line="170" w:lineRule="exact"/>
        <w:rPr>
          <w:rFonts w:ascii="Arial" w:cs="Arial" w:eastAsia="Arial" w:hAnsi="Arial"/>
          <w:sz w:val="18"/>
          <w:szCs w:val="18"/>
          <w:color w:val="auto"/>
        </w:rPr>
      </w:pPr>
    </w:p>
    <w:p>
      <w:pPr>
        <w:ind w:left="740" w:right="140" w:hanging="368"/>
        <w:spacing w:after="0" w:line="277"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success and growth depend on our ability to continuously develop and successfully market new gear and improvements. If we are unable to do so, demand for our current gear may decline and new gear we introduce may not be successful.</w:t>
      </w:r>
    </w:p>
    <w:p>
      <w:pPr>
        <w:spacing w:after="0" w:line="170" w:lineRule="exact"/>
        <w:rPr>
          <w:rFonts w:ascii="Arial" w:cs="Arial" w:eastAsia="Arial" w:hAnsi="Arial"/>
          <w:sz w:val="18"/>
          <w:szCs w:val="18"/>
          <w:color w:val="auto"/>
        </w:rPr>
      </w:pPr>
    </w:p>
    <w:p>
      <w:pPr>
        <w:jc w:val="both"/>
        <w:ind w:left="740" w:right="20" w:hanging="368"/>
        <w:spacing w:after="0" w:line="311" w:lineRule="auto"/>
        <w:tabs>
          <w:tab w:leader="none" w:pos="7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depend upon the introduction and success of new third-party high-performance computer hardware, particularly graphics processing units, or GPUs, and central processing units, or CPUs, and sophisticated new video games to drive sales of our gear. If newly introduced GPUs, CPUs and sophisticated video games are not successful, or if the rate at which those products are introduced declines, it may seriously harm our business.</w:t>
      </w:r>
    </w:p>
    <w:p>
      <w:pPr>
        <w:spacing w:after="0" w:line="148" w:lineRule="exact"/>
        <w:rPr>
          <w:rFonts w:ascii="Arial" w:cs="Arial" w:eastAsia="Arial" w:hAnsi="Arial"/>
          <w:sz w:val="16"/>
          <w:szCs w:val="16"/>
          <w:color w:val="auto"/>
        </w:rPr>
      </w:pPr>
    </w:p>
    <w:p>
      <w:pPr>
        <w:ind w:left="740" w:right="560" w:hanging="368"/>
        <w:spacing w:after="0" w:line="277"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face intense competition, and if we do not compete effectively, we could lose market share, demand for our gear could decline and our business may be seriously harmed.</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If the gaming industry, including streaming and eSports, does not grow as expected or declines, our business could be seriously harmed.</w:t>
      </w:r>
    </w:p>
    <w:p>
      <w:pPr>
        <w:spacing w:after="0" w:line="236" w:lineRule="exact"/>
        <w:rPr>
          <w:rFonts w:ascii="Arial" w:cs="Arial" w:eastAsia="Arial" w:hAnsi="Arial"/>
          <w:sz w:val="17"/>
          <w:szCs w:val="17"/>
          <w:color w:val="auto"/>
        </w:rPr>
      </w:pPr>
    </w:p>
    <w:p>
      <w:pPr>
        <w:ind w:left="740" w:right="280" w:hanging="368"/>
        <w:spacing w:after="0" w:line="277"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lose or are unable to attract and retain key management, our ability to compete could be seriously harmed and our financial performance could suffer.</w:t>
      </w:r>
    </w:p>
    <w:p>
      <w:pPr>
        <w:spacing w:after="0" w:line="170" w:lineRule="exact"/>
        <w:rPr>
          <w:rFonts w:ascii="Arial" w:cs="Arial" w:eastAsia="Arial" w:hAnsi="Arial"/>
          <w:sz w:val="18"/>
          <w:szCs w:val="18"/>
          <w:color w:val="auto"/>
        </w:rPr>
      </w:pPr>
    </w:p>
    <w:p>
      <w:pPr>
        <w:ind w:left="740" w:right="500" w:hanging="368"/>
        <w:spacing w:after="0" w:line="277"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Currency exchange rate fluctuations could result in our gear becoming relatively more expensive to our overseas customers or increase our manufacturing costs, each of which may seriously harm our business.</w:t>
      </w:r>
    </w:p>
    <w:p>
      <w:pPr>
        <w:spacing w:after="0" w:line="170" w:lineRule="exact"/>
        <w:rPr>
          <w:rFonts w:ascii="Arial" w:cs="Arial" w:eastAsia="Arial" w:hAnsi="Arial"/>
          <w:sz w:val="18"/>
          <w:szCs w:val="18"/>
          <w:color w:val="auto"/>
        </w:rPr>
      </w:pPr>
    </w:p>
    <w:p>
      <w:pPr>
        <w:ind w:left="740" w:right="320" w:hanging="368"/>
        <w:spacing w:after="0" w:line="277"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Total unit shipments of our gear tend to be higher during the third and fourth quarters of the year. As a result, our sales are subject to seasonal fluctuations, which may seriously harm our business.</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coronavirus outbreak has had, and could continue to have, a materially disruptive effect on our business.</w:t>
      </w:r>
    </w:p>
    <w:p>
      <w:pPr>
        <w:spacing w:after="0" w:line="225" w:lineRule="exact"/>
        <w:rPr>
          <w:rFonts w:ascii="Arial" w:cs="Arial" w:eastAsia="Arial" w:hAnsi="Arial"/>
          <w:sz w:val="18"/>
          <w:szCs w:val="18"/>
          <w:color w:val="auto"/>
        </w:rPr>
      </w:pPr>
    </w:p>
    <w:p>
      <w:pPr>
        <w:ind w:left="740" w:right="140" w:hanging="368"/>
        <w:spacing w:after="0" w:line="259"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identified material weaknesses in our internal controls over financial reporting. If our remediation of the material weaknesses is not effective or we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w:t>
      </w:r>
    </w:p>
    <w:p>
      <w:pPr>
        <w:spacing w:after="0" w:line="186" w:lineRule="exact"/>
        <w:rPr>
          <w:rFonts w:ascii="Arial" w:cs="Arial" w:eastAsia="Arial" w:hAnsi="Arial"/>
          <w:sz w:val="18"/>
          <w:szCs w:val="18"/>
          <w:color w:val="auto"/>
        </w:rPr>
      </w:pPr>
    </w:p>
    <w:p>
      <w:pPr>
        <w:ind w:left="740" w:hanging="36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controlled by a single stockholder, whose interest in our business may be different than yours.</w:t>
      </w:r>
    </w:p>
    <w:p>
      <w:pPr>
        <w:spacing w:after="0" w:line="225" w:lineRule="exact"/>
        <w:rPr>
          <w:rFonts w:ascii="Arial" w:cs="Arial" w:eastAsia="Arial" w:hAnsi="Arial"/>
          <w:sz w:val="18"/>
          <w:szCs w:val="18"/>
          <w:color w:val="auto"/>
        </w:rPr>
      </w:pPr>
    </w:p>
    <w:p>
      <w:pPr>
        <w:ind w:left="740" w:right="20" w:hanging="368"/>
        <w:spacing w:after="0" w:line="263"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a “controlled company” within the meaning of the Nasdaq Global Select Market, or Nasdaq, rules and, as a result, will qualify for, and intend to rely on, exemptions from certain corporate governance requirements. You will not have the same protections afforded to stockholders of companies that are subject to such requirements.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right="40" w:firstLine="510"/>
        <w:spacing w:after="0" w:line="288" w:lineRule="auto"/>
        <w:rPr>
          <w:sz w:val="20"/>
          <w:szCs w:val="20"/>
          <w:color w:val="auto"/>
        </w:rPr>
      </w:pPr>
      <w:r>
        <w:rPr>
          <w:rFonts w:ascii="Arial" w:cs="Arial" w:eastAsia="Arial" w:hAnsi="Arial"/>
          <w:sz w:val="16"/>
          <w:szCs w:val="16"/>
          <w:i w:val="1"/>
          <w:iCs w:val="1"/>
          <w:color w:val="auto"/>
        </w:rPr>
        <w:t>Our business involves significant risks, some of which are described below. You should consider carefully the risks and uncertainties described below, together with all of the other information contained in this Quarterly Report on Form 10-Q such as “Management’s Discussion and Analysis of Financial Condition and Results of Operations” and the our combined consolidated financial statements and related notes. If any of the following risks actually occurs, our business, reputation, financial condition, results of operations, revenue and future prospects could be seriously harmed. In such event, the market price of our common stock could decline and you could lose all or part of your investment. The risks and uncertainties described below are not the only ones we face. Additional risks and uncertainties that we are unaware of, or that we currently believe are not material, may also become important factors that adversely affect our business. This Quarterly Report on Form 10-Q also contains forward-looking statements that involve risks and uncertainties. Our actual results could differ materially from those anticipated in the forward-looking statements as a result of factors that are described below and elsewhere in this Quarterly Report. Unless otherwise indicated, references to our business being seriously harmed in these risk factors and elsewhere will include harm to our business, reputation, financial condition, results of operations, revenue and future prospects.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520" w:right="340"/>
        <w:spacing w:after="0" w:line="375" w:lineRule="auto"/>
        <w:rPr>
          <w:sz w:val="20"/>
          <w:szCs w:val="20"/>
          <w:color w:val="auto"/>
        </w:rPr>
      </w:pPr>
      <w:r>
        <w:rPr>
          <w:rFonts w:ascii="Arial" w:cs="Arial" w:eastAsia="Arial" w:hAnsi="Arial"/>
          <w:sz w:val="15"/>
          <w:szCs w:val="15"/>
          <w:b w:val="1"/>
          <w:bCs w:val="1"/>
          <w:i w:val="1"/>
          <w:iCs w:val="1"/>
          <w:color w:val="auto"/>
        </w:rPr>
        <w:t>Our competitive position and success in the market depend to a significant degree upon our ability to build and maintain the strength of our brands among gaming enthusiasts and streamers, and any failure to build and maintain our brands may seriously harm our business.</w:t>
      </w:r>
    </w:p>
    <w:p>
      <w:pPr>
        <w:spacing w:after="0" w:line="1"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We regard our brands as a valuable asset, and we consider it essential to both maintaining and strengthening our brands that we be perceived by current and prospective customers as a leading supplier of cutting-edge, high-performance gear for gaming and streaming. This requires that we constantly innovate by introducing new and enhanced gear that achieves significant levels of acceptance among gamers. We also need to continue to invest in, and devote substantial resources to, advertising, marketing and other efforts to create and maintain brand recognition and loyalty among our retailer and distributor customers, gamers. However, product development, marketing and other brand promotion activities may not yield increased net revenue and, even if they do, any increased net revenue may not offset the expenses incurred in building our brands. Further, certain marketing efforts such as sponsorship of eSports athletes, content creators or events could become prohibitively expensive, and as a result these marketing initiatives may no longer be feasible.</w:t>
      </w:r>
    </w:p>
    <w:p>
      <w:pPr>
        <w:spacing w:after="0" w:line="192" w:lineRule="exact"/>
        <w:rPr>
          <w:sz w:val="20"/>
          <w:szCs w:val="20"/>
          <w:color w:val="auto"/>
        </w:rPr>
      </w:pPr>
    </w:p>
    <w:p>
      <w:pPr>
        <w:ind w:right="40" w:firstLine="510"/>
        <w:spacing w:after="0" w:line="311" w:lineRule="auto"/>
        <w:rPr>
          <w:sz w:val="20"/>
          <w:szCs w:val="20"/>
          <w:color w:val="auto"/>
        </w:rPr>
      </w:pPr>
      <w:r>
        <w:rPr>
          <w:rFonts w:ascii="Arial" w:cs="Arial" w:eastAsia="Arial" w:hAnsi="Arial"/>
          <w:sz w:val="16"/>
          <w:szCs w:val="16"/>
          <w:color w:val="auto"/>
        </w:rPr>
        <w:t>If we fail to build and maintain our brands, or if we incur substantial expenses in an unsuccessful attempt to build and maintain our brands, our business may be harmed. Our brands may also be damaged by events such as product recalls, perceived declines in quality or reliability, product shortages, damaging action or conduct of our sponsored eSports athletes or content creators and other events, some of which are beyond our control.</w:t>
      </w:r>
    </w:p>
    <w:p>
      <w:pPr>
        <w:spacing w:after="0" w:line="257" w:lineRule="exact"/>
        <w:rPr>
          <w:sz w:val="20"/>
          <w:szCs w:val="20"/>
          <w:color w:val="auto"/>
        </w:rPr>
      </w:pPr>
    </w:p>
    <w:p>
      <w:pPr>
        <w:ind w:left="520" w:right="40"/>
        <w:spacing w:after="0" w:line="308" w:lineRule="auto"/>
        <w:rPr>
          <w:sz w:val="20"/>
          <w:szCs w:val="20"/>
          <w:color w:val="auto"/>
        </w:rPr>
      </w:pPr>
      <w:r>
        <w:rPr>
          <w:rFonts w:ascii="Arial" w:cs="Arial" w:eastAsia="Arial" w:hAnsi="Arial"/>
          <w:sz w:val="17"/>
          <w:szCs w:val="17"/>
          <w:b w:val="1"/>
          <w:bCs w:val="1"/>
          <w:i w:val="1"/>
          <w:iCs w:val="1"/>
          <w:color w:val="auto"/>
        </w:rPr>
        <w:t>Our success and growth depend on our ability to continuously develop and successfully market new gear and improvements. If we are unable to do so, demand for our current gear may decline and new gear we introduce may not be successful.</w:t>
      </w:r>
    </w:p>
    <w:p>
      <w:pPr>
        <w:spacing w:after="0" w:line="38"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The gear we sell, which includes gamer and creator peripherals, and gaming components and systems, is characterized by short product life cycles, frequent new product introductions, rapidly changing technology and evolving industry standards. In addition, average selling prices of some of our gear tend to decline as the gear matures, and we expect this trend to continue. As a result, we must continually anticipate and respond to changing gamer requirements, innovate in our current and emerging categories of gear, introduce new gear and enhance existing gear in a timely and efficient manner in order to remain competitive and execute our growth strategy.</w:t>
      </w:r>
    </w:p>
    <w:p>
      <w:pPr>
        <w:spacing w:after="0" w:line="188"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believe that the success of our gear depends to a significant degree on our ability to identify new features or category opportunities, anticipate technological developments and market trends and distinguish our gear from those of our competitors. In order to further grow our business, we also will need to quickly develop, manufacture and ship innovative and reliable new gear and enhancements to our existing gear in a cost-effective and timely manner to take advantage of developments in enabling technologies and the introduction of new computer hardware, such as new generations of GPUs and CPUs, and computer games, all of which drive demand for our gear. Further, our growth depends in part on our ability to introduce and successfully market new gear and categories of gear. For example, we entered the console controller market in 2019 following our acquisition of SCUF and in the future intend to introduce other gear designed to appeal to the console gaming market. To the extent we do so, we will likely encounter competition from large, well-known consumer electronics and peripherals companies. Some of these companies have significantly greater financial, manufacturing, marketing and other resources than we do and may be able to devote greater resources to the design, development, manufacturing, distribution, promotion, sale and support of their products. We cannot predict whether we will be successful in developing or marketing new gear and categories of gear and, if we fail to do so, our business may be seriously harmed.</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In addition, we have recently implemented a work from home policy for many of our employees as a result of the recent COVID-19 coronavirus outbreak, which may have a substantial impact on attendance, morale and productivity, disrupt access to facilities, equipment, networks, corporate systems, books and records and may add additional expenses and strain on our business. The duration and extent of the impact from the coronavirus outbreak on our business depends on future developments that cannot be accurately predicted at this time, such as the severity and transmission rate of the virus, the extent and effectiveness of containment actions and the impact of these and other factors on our employees. If our employees are required to work from home for many months, it could ultimately negatively impact new gear and improvements and potentially result in delays or releasing significant updates.</w:t>
      </w:r>
    </w:p>
    <w:p>
      <w:pPr>
        <w:spacing w:after="0" w:line="164"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If we do not execute on these factors successfully, demand for our current gear may decline and any new gear that we may introduce may not gain widespread acceptance. If this were to occur, our business may be seriously harmed. In addition, if we do not continue to distinguish our gear through distinctive, technologically advanced features and designs, as well as continue to build and strengthen our brand recognition and our access to distribution channels, our business may be seriously harmed.</w:t>
      </w:r>
    </w:p>
    <w:p>
      <w:pPr>
        <w:spacing w:after="0" w:line="295" w:lineRule="exact"/>
        <w:rPr>
          <w:sz w:val="20"/>
          <w:szCs w:val="20"/>
          <w:color w:val="auto"/>
        </w:rPr>
      </w:pPr>
    </w:p>
    <w:p>
      <w:pPr>
        <w:ind w:left="520" w:right="120"/>
        <w:spacing w:after="0" w:line="286" w:lineRule="auto"/>
        <w:rPr>
          <w:sz w:val="20"/>
          <w:szCs w:val="20"/>
          <w:color w:val="auto"/>
        </w:rPr>
      </w:pPr>
      <w:r>
        <w:rPr>
          <w:rFonts w:ascii="Arial" w:cs="Arial" w:eastAsia="Arial" w:hAnsi="Arial"/>
          <w:sz w:val="17"/>
          <w:szCs w:val="17"/>
          <w:b w:val="1"/>
          <w:bCs w:val="1"/>
          <w:i w:val="1"/>
          <w:iCs w:val="1"/>
          <w:color w:val="auto"/>
        </w:rPr>
        <w:t>We depend upon the introduction and success of new third-party high-performance computer hardware, particularly GPUs and CPUs, and sophisticated new video games to drive sales of our gear. If newly introduced GPUs, CPUs and sophisticated video games are not successful, or if the rate at which those products are introduced declines, it may seriously harm our business.</w:t>
      </w:r>
    </w:p>
    <w:p>
      <w:pPr>
        <w:spacing w:after="0" w:line="57" w:lineRule="exact"/>
        <w:rPr>
          <w:sz w:val="20"/>
          <w:szCs w:val="20"/>
          <w:color w:val="auto"/>
        </w:rPr>
      </w:pPr>
    </w:p>
    <w:p>
      <w:pPr>
        <w:ind w:right="60" w:firstLine="510"/>
        <w:spacing w:after="0" w:line="268" w:lineRule="auto"/>
        <w:rPr>
          <w:sz w:val="20"/>
          <w:szCs w:val="20"/>
          <w:color w:val="auto"/>
        </w:rPr>
      </w:pPr>
      <w:r>
        <w:rPr>
          <w:rFonts w:ascii="Arial" w:cs="Arial" w:eastAsia="Arial" w:hAnsi="Arial"/>
          <w:sz w:val="17"/>
          <w:szCs w:val="17"/>
          <w:color w:val="auto"/>
        </w:rPr>
        <w:t>We believe that the introduction of more powerful GPUs, CPUs and similar computer hardware that place increased demands on other system components, such as memory, power supply or cooling, has a significant effect on the demand for our gear. The manufacturers of those products are large, public, independent companies that we do not influence or control. As a result, our business results can be materially affected by the frequency with which new high-performance hardware products are introduced by these independent third parties, whether these products achieve widespread acceptance among gamers and whether additional memory, enhanced PSUs or cooling solutions, new computer cases or other peripheral devices are necessary to support those products. Although we believe that, historically, new generations of high-performance GPUs and CPUs have positively affected the demand for our gear, we cannot assure you that this will be the case in the future. For example, the introduction of a new generation of highly efficient GPUs and CPUs that require less power or that generate less heat than prior generations may reduce the demand for both our power supply units and cooling solutions. In the past, semiconductor and computer hardware companies have typically introduced new products annually, generally in the second calendar quarter, which has tended to drive our sales in the following two quarters. If computer hardware companies do not continue to regularly introduce new and enhanced GPUs, CPUs and other products that place increasing demands on system memory and processing speed, require larger power supply units or cooling solutions or that otherwise drive demand for computer cases and other peripherals, or if gamers do not accept those products, our business may be seriously harmed.</w:t>
      </w:r>
    </w:p>
    <w:p>
      <w:pPr>
        <w:spacing w:after="0" w:line="186" w:lineRule="exact"/>
        <w:rPr>
          <w:sz w:val="20"/>
          <w:szCs w:val="20"/>
          <w:color w:val="auto"/>
        </w:rPr>
      </w:pPr>
    </w:p>
    <w:p>
      <w:pPr>
        <w:ind w:right="120" w:firstLine="510"/>
        <w:spacing w:after="0" w:line="270" w:lineRule="auto"/>
        <w:rPr>
          <w:sz w:val="20"/>
          <w:szCs w:val="20"/>
          <w:color w:val="auto"/>
        </w:rPr>
      </w:pPr>
      <w:r>
        <w:rPr>
          <w:rFonts w:ascii="Arial" w:cs="Arial" w:eastAsia="Arial" w:hAnsi="Arial"/>
          <w:sz w:val="17"/>
          <w:szCs w:val="17"/>
          <w:color w:val="auto"/>
        </w:rPr>
        <w:t>We also believe that sales of our gear are driven by conditions in the computer gaming industry. In particular, we believe that our business depends on the introduction and success of computer games with sophisticated graphics that place greater demands on system processing speed and capacity and therefore require more powerful GPUs or CPUs, which in turn drives demand for our DRAM modules, PSUs, cooling systems and other components and peripherals. Likewise, we believe that the continued introduction and market acceptance of new or enhanced versions of computer games helps sustain consumer interest in computer gaming generally. The demand for our gear would likely decline, perhaps substantially, if computer game companies and developers do not introduce and successfully market sophisticated new and improved games that require increasingly high levels of system and graphics processing power on an ongoing basis or if demand for computer games among computer gaming enthusiasts or conditions in the computer gaming industry deteriorate for any reason. As a result, our sales and other operating results fluctuate due to conditions in the market for computer games, and downturns in this market may seriously harm our business.</w:t>
      </w:r>
    </w:p>
    <w:p>
      <w:pPr>
        <w:spacing w:after="0" w:line="289" w:lineRule="exact"/>
        <w:rPr>
          <w:sz w:val="20"/>
          <w:szCs w:val="20"/>
          <w:color w:val="auto"/>
        </w:rPr>
      </w:pPr>
    </w:p>
    <w:p>
      <w:pPr>
        <w:ind w:left="520" w:right="520"/>
        <w:spacing w:after="0" w:line="277" w:lineRule="auto"/>
        <w:rPr>
          <w:sz w:val="20"/>
          <w:szCs w:val="20"/>
          <w:color w:val="auto"/>
        </w:rPr>
      </w:pPr>
      <w:r>
        <w:rPr>
          <w:rFonts w:ascii="Arial" w:cs="Arial" w:eastAsia="Arial" w:hAnsi="Arial"/>
          <w:sz w:val="18"/>
          <w:szCs w:val="18"/>
          <w:b w:val="1"/>
          <w:bCs w:val="1"/>
          <w:i w:val="1"/>
          <w:iCs w:val="1"/>
          <w:color w:val="auto"/>
        </w:rPr>
        <w:t>We face intense competition, and if we do not compete effectively, we could lose market share, demand for our gear could decline and our business may be seriously harmed.</w:t>
      </w:r>
    </w:p>
    <w:p>
      <w:pPr>
        <w:spacing w:after="0" w:line="62"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We face intense competition in the markets for all of our gear. We operate in markets that are characterized by rapid technological change, constant price pressure, rapid product obsolescence, evolving industry standards and new demands for features and performance. We experience aggressive price competition and other promotional activities by competitors, including in response to declines in consumer demand and excess product supply or as competitors seek to gain market share.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In addition, because of the continuing convergence of the markets for computing devices and consumer electronics, we expect greater competition in the future from well-established consumer electronics companies. Many of our current and potential competitors, some of which are large, multi-national businesses, have substantially greater financial, technical, sales, marketing, personnel and other resources and greater brand recognition than we have. Our competitors may be in a stronger position to respond quickly to new technologies and may be able to design, develop, market and sell their products more effectively than we can. In addition, some of our competitors are small or mid-sized specialty companies that can react to changes in industry trends or consumer preferences or to introduce new or innovative products more quickly than we can. As a result, our product development efforts may not be successful or result in market acceptance of our gear. Our primary competitors include:</w:t>
      </w:r>
    </w:p>
    <w:p>
      <w:pPr>
        <w:spacing w:after="0" w:line="177" w:lineRule="exact"/>
        <w:rPr>
          <w:sz w:val="20"/>
          <w:szCs w:val="20"/>
          <w:color w:val="auto"/>
        </w:rPr>
      </w:pPr>
    </w:p>
    <w:p>
      <w:pPr>
        <w:jc w:val="both"/>
        <w:ind w:right="60" w:firstLine="510"/>
        <w:spacing w:after="0" w:line="279" w:lineRule="auto"/>
        <w:rPr>
          <w:sz w:val="20"/>
          <w:szCs w:val="20"/>
          <w:color w:val="auto"/>
        </w:rPr>
      </w:pPr>
      <w:r>
        <w:rPr>
          <w:rFonts w:ascii="Arial" w:cs="Arial" w:eastAsia="Arial" w:hAnsi="Arial"/>
          <w:sz w:val="17"/>
          <w:szCs w:val="17"/>
          <w:i w:val="1"/>
          <w:iCs w:val="1"/>
          <w:color w:val="auto"/>
        </w:rPr>
        <w:t xml:space="preserve">Competitors in the gamer and creator peripherals market. </w:t>
      </w:r>
      <w:r>
        <w:rPr>
          <w:rFonts w:ascii="Arial" w:cs="Arial" w:eastAsia="Arial" w:hAnsi="Arial"/>
          <w:sz w:val="17"/>
          <w:szCs w:val="17"/>
          <w:color w:val="auto"/>
        </w:rPr>
        <w:t>Our primary competitors in the market for gaming keyboards and mice include Logitech</w:t>
      </w:r>
      <w:r>
        <w:rPr>
          <w:rFonts w:ascii="Arial" w:cs="Arial" w:eastAsia="Arial" w:hAnsi="Arial"/>
          <w:sz w:val="17"/>
          <w:szCs w:val="17"/>
          <w:i w:val="1"/>
          <w:iCs w:val="1"/>
          <w:color w:val="auto"/>
        </w:rPr>
        <w:t xml:space="preserve"> </w:t>
      </w:r>
      <w:r>
        <w:rPr>
          <w:rFonts w:ascii="Arial" w:cs="Arial" w:eastAsia="Arial" w:hAnsi="Arial"/>
          <w:sz w:val="17"/>
          <w:szCs w:val="17"/>
          <w:color w:val="auto"/>
        </w:rPr>
        <w:t>and Razer. Our primary competitors in the market for headset and related audio products include Logitech, Razer and Kingston through its HyperX brand. Our primary competitors in the gamer and creator streaming gear market include Logitech, following its acquisition of Blue Microphones, and AVerMedia. Our primary competitors in the performance controller market include Microsoft and Logitech.</w:t>
      </w:r>
    </w:p>
    <w:p>
      <w:pPr>
        <w:spacing w:after="0" w:line="171"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i w:val="1"/>
          <w:iCs w:val="1"/>
          <w:color w:val="auto"/>
        </w:rPr>
        <w:t xml:space="preserve">Competitors in the gaming components and systems market. </w:t>
      </w:r>
      <w:r>
        <w:rPr>
          <w:rFonts w:ascii="Arial" w:cs="Arial" w:eastAsia="Arial" w:hAnsi="Arial"/>
          <w:sz w:val="18"/>
          <w:szCs w:val="18"/>
          <w:color w:val="auto"/>
        </w:rPr>
        <w:t>Our primary competitors in the market for PSUs, cooling solutions and computer cases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Cooler Master, NZXT, EVGA, Seasonic and Thermaltake. Our primary competitors in the market for DRAM modules include G.Skill, Kingston through its HyperX brand and Micron through its Crucial division. Our primary competitors in the market for prebuilt gaming PCs and laptops include Dell through its Alienware brand, HP through its Omen brand, Asus and Razer. Our primary competitors in the market for custom-built gaming PCs and laptops include iBuypower and Cyberpower.</w:t>
      </w:r>
    </w:p>
    <w:p>
      <w:pPr>
        <w:spacing w:after="0" w:line="188" w:lineRule="exact"/>
        <w:rPr>
          <w:sz w:val="20"/>
          <w:szCs w:val="20"/>
          <w:color w:val="auto"/>
        </w:rPr>
      </w:pPr>
    </w:p>
    <w:p>
      <w:pPr>
        <w:ind w:right="140" w:firstLine="510"/>
        <w:spacing w:after="0" w:line="286" w:lineRule="auto"/>
        <w:rPr>
          <w:sz w:val="20"/>
          <w:szCs w:val="20"/>
          <w:color w:val="auto"/>
        </w:rPr>
      </w:pPr>
      <w:r>
        <w:rPr>
          <w:rFonts w:ascii="Arial" w:cs="Arial" w:eastAsia="Arial" w:hAnsi="Arial"/>
          <w:sz w:val="17"/>
          <w:szCs w:val="17"/>
          <w:i w:val="1"/>
          <w:iCs w:val="1"/>
          <w:color w:val="auto"/>
        </w:rPr>
        <w:t>Competitors in new markets</w:t>
      </w:r>
      <w:r>
        <w:rPr>
          <w:rFonts w:ascii="Arial" w:cs="Arial" w:eastAsia="Arial" w:hAnsi="Arial"/>
          <w:sz w:val="17"/>
          <w:szCs w:val="17"/>
          <w:color w:val="auto"/>
        </w:rPr>
        <w:t>. We are considering introducing new gear for gamers or streamers and content creators and, to the extent we introduce</w:t>
      </w:r>
      <w:r>
        <w:rPr>
          <w:rFonts w:ascii="Arial" w:cs="Arial" w:eastAsia="Arial" w:hAnsi="Arial"/>
          <w:sz w:val="17"/>
          <w:szCs w:val="17"/>
          <w:i w:val="1"/>
          <w:iCs w:val="1"/>
          <w:color w:val="auto"/>
        </w:rPr>
        <w:t xml:space="preserve"> </w:t>
      </w:r>
      <w:r>
        <w:rPr>
          <w:rFonts w:ascii="Arial" w:cs="Arial" w:eastAsia="Arial" w:hAnsi="Arial"/>
          <w:sz w:val="17"/>
          <w:szCs w:val="17"/>
          <w:color w:val="auto"/>
        </w:rPr>
        <w:t>gear in new categories, we will likely experience substantial competition from additional companies, including large computer gaming and streaming peripherals and consumer electronics companies with global brand recognition and significantly greater resources than ours.</w:t>
      </w:r>
    </w:p>
    <w:p>
      <w:pPr>
        <w:spacing w:after="0" w:line="165" w:lineRule="exact"/>
        <w:rPr>
          <w:sz w:val="20"/>
          <w:szCs w:val="20"/>
          <w:color w:val="auto"/>
        </w:rPr>
      </w:pPr>
    </w:p>
    <w:p>
      <w:pPr>
        <w:jc w:val="both"/>
        <w:ind w:right="140" w:firstLine="510"/>
        <w:spacing w:after="0" w:line="301" w:lineRule="auto"/>
        <w:rPr>
          <w:sz w:val="20"/>
          <w:szCs w:val="20"/>
          <w:color w:val="auto"/>
        </w:rPr>
      </w:pPr>
      <w:r>
        <w:rPr>
          <w:rFonts w:ascii="Arial" w:cs="Arial" w:eastAsia="Arial" w:hAnsi="Arial"/>
          <w:sz w:val="16"/>
          <w:szCs w:val="16"/>
          <w:color w:val="auto"/>
        </w:rPr>
        <w:t>Our ability to compete successfully is fundamental to our success in existing and new markets. We believe that the principal competitive factors in our markets include performance, reliability, brand and associated style and image, time to market with new emerging technologies, early identification of emerging opportunities, interoperability of products and responsive customer support on a worldwide basis. If we do not compete effectively, demand for our gear could decline, our net revenue and gross margin could decrease and we could lose market share, which may seriously harm our business.</w:t>
      </w:r>
    </w:p>
    <w:p>
      <w:pPr>
        <w:spacing w:after="0" w:line="157" w:lineRule="exact"/>
        <w:rPr>
          <w:sz w:val="20"/>
          <w:szCs w:val="20"/>
          <w:color w:val="auto"/>
        </w:rPr>
      </w:pPr>
    </w:p>
    <w:p>
      <w:pPr>
        <w:ind w:right="40" w:firstLine="510"/>
        <w:spacing w:after="0" w:line="286" w:lineRule="auto"/>
        <w:rPr>
          <w:sz w:val="20"/>
          <w:szCs w:val="20"/>
          <w:color w:val="auto"/>
        </w:rPr>
      </w:pPr>
      <w:r>
        <w:rPr>
          <w:rFonts w:ascii="Arial" w:cs="Arial" w:eastAsia="Arial" w:hAnsi="Arial"/>
          <w:sz w:val="17"/>
          <w:szCs w:val="17"/>
          <w:color w:val="auto"/>
        </w:rPr>
        <w:t>Further, our ability to successfully compete depends in large part on our ability to compete on price for our high-performance gear. Much of the gear we sell is priced higher than products offered by our competitors. If gamers or streamers are not willing to pay the higher price point for our gear, we will either need to discount our gear or our sales volume could decrease. In either event, our business could be seriously harmed.</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gaming, including streaming and eSports, does not grow as expected or declines our business could be seriously harmed.</w:t>
      </w:r>
    </w:p>
    <w:p>
      <w:pPr>
        <w:spacing w:after="0" w:line="117" w:lineRule="exact"/>
        <w:rPr>
          <w:sz w:val="20"/>
          <w:szCs w:val="20"/>
          <w:color w:val="auto"/>
        </w:rPr>
      </w:pPr>
    </w:p>
    <w:p>
      <w:pPr>
        <w:ind w:right="160" w:firstLine="510"/>
        <w:spacing w:after="0" w:line="279" w:lineRule="auto"/>
        <w:rPr>
          <w:sz w:val="20"/>
          <w:szCs w:val="20"/>
          <w:color w:val="auto"/>
        </w:rPr>
      </w:pPr>
      <w:r>
        <w:rPr>
          <w:rFonts w:ascii="Arial" w:cs="Arial" w:eastAsia="Arial" w:hAnsi="Arial"/>
          <w:sz w:val="17"/>
          <w:szCs w:val="17"/>
          <w:color w:val="auto"/>
        </w:rPr>
        <w:t>Over the past two decades, gaming has grown from a relatively niche industry to a significant segment of the global entertainment industry with a wide following across various demographic groups globally. This growth includes, and has been driven by, the rapid expansion of live game streaming by content creators and the growing popularity of professional competitive gaming, also referred to as eSports. However, the continued growth of the video gaming industry will depend on numerous factors, many of which are beyond our control, including but not limited to:</w:t>
      </w:r>
    </w:p>
    <w:p>
      <w:pPr>
        <w:spacing w:after="0" w:line="63" w:lineRule="exact"/>
        <w:rPr>
          <w:sz w:val="20"/>
          <w:szCs w:val="20"/>
          <w:color w:val="auto"/>
        </w:rPr>
      </w:pPr>
    </w:p>
    <w:p>
      <w:pPr>
        <w:ind w:left="1000" w:right="22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rate of growth of PCs and gaming consoles or the migration of gamers to mobile devices and tablets away from PCs, which historically have been the core focus of our business;</w:t>
      </w:r>
    </w:p>
    <w:p>
      <w:pPr>
        <w:spacing w:after="0" w:line="62"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contained growth of streaming, including its popularity among fans and aspiring content creators and how it impacts their desire to purchase high-performance gaming and streaming gear;</w:t>
      </w:r>
    </w:p>
    <w:p>
      <w:pPr>
        <w:spacing w:after="0" w:line="62"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continued growth of eSports, including its increasing popularity among fans and amateur eSports athletes and how it impacts their desire to purchase high-performance gaming gear;</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economic conditions, particularly economic conditions adversely affecting discretionary consumer spending;</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social perceptions of gaming, especially those related to the impact of gaming on health and social development;</w:t>
      </w:r>
    </w:p>
    <w:p>
      <w:pPr>
        <w:spacing w:after="0" w:line="117" w:lineRule="exact"/>
        <w:rPr>
          <w:rFonts w:ascii="Arial" w:cs="Arial" w:eastAsia="Arial" w:hAnsi="Arial"/>
          <w:sz w:val="18"/>
          <w:szCs w:val="18"/>
          <w:color w:val="auto"/>
        </w:rPr>
      </w:pPr>
    </w:p>
    <w:p>
      <w:pPr>
        <w:ind w:left="1000" w:right="68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introduction of legislation or other regulatory restrictions on gaming, such as restrictions addressing violence in video games and addiction to video games, also referred to as Gaming Disorder by the World Health Organization;</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relative availability and popularity of other forms of entertainment;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consumer demographics, tastes and preferences.</w:t>
      </w:r>
    </w:p>
    <w:p>
      <w:pPr>
        <w:spacing w:after="0" w:line="225"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We generate a significant portion of our net revenue from gaming-related gear. As a result, any decline or slowdown in the growth of the gaming industry or the declining popularity of the gaming industry could materially and adversely affect our business. Further, while Newzoo has reported that there were 2.4 billion mobile gamers in 2019, but because we are focused on developing gear for gamers, we have no specific plans to attract gamers who use only mobile devices or tablets and we have no plans to develop gear specifically designed for gamers who use mobile devices or tablets. As a result, if gamers migrate to mobile devices or tablets and away from PCs and consoles, our business may be seriously harmed. In addition, we cannot assure you that the active demographics in gaming will continue to buy into and drive the growth in gamer culture and the games industry overall nor can we assure you that gaming will expand into new demographics that will drive growth. Further, if gamers’ interest in video games is diminished, this may seriously harm our business.</w:t>
      </w:r>
    </w:p>
    <w:p>
      <w:pPr>
        <w:spacing w:after="0" w:line="300" w:lineRule="exact"/>
        <w:rPr>
          <w:sz w:val="20"/>
          <w:szCs w:val="20"/>
          <w:color w:val="auto"/>
        </w:rPr>
      </w:pPr>
    </w:p>
    <w:p>
      <w:pPr>
        <w:ind w:left="520" w:right="200"/>
        <w:spacing w:after="0" w:line="277" w:lineRule="auto"/>
        <w:rPr>
          <w:sz w:val="20"/>
          <w:szCs w:val="20"/>
          <w:color w:val="auto"/>
        </w:rPr>
      </w:pPr>
      <w:r>
        <w:rPr>
          <w:rFonts w:ascii="Arial" w:cs="Arial" w:eastAsia="Arial" w:hAnsi="Arial"/>
          <w:sz w:val="18"/>
          <w:szCs w:val="18"/>
          <w:b w:val="1"/>
          <w:bCs w:val="1"/>
          <w:i w:val="1"/>
          <w:iCs w:val="1"/>
          <w:color w:val="auto"/>
        </w:rPr>
        <w:t>Our growth prospects are, to a certain extent, connected with the ongoing growth of eSports and live game streaming and any reduction in the growth or popularity of eSports or live game streaming may seriously harm our business.</w:t>
      </w:r>
    </w:p>
    <w:p>
      <w:pPr>
        <w:spacing w:after="0" w:line="62" w:lineRule="exact"/>
        <w:rPr>
          <w:sz w:val="20"/>
          <w:szCs w:val="20"/>
          <w:color w:val="auto"/>
        </w:rPr>
      </w:pPr>
    </w:p>
    <w:p>
      <w:pPr>
        <w:jc w:val="both"/>
        <w:ind w:right="220" w:firstLine="510"/>
        <w:spacing w:after="0" w:line="286" w:lineRule="auto"/>
        <w:rPr>
          <w:sz w:val="20"/>
          <w:szCs w:val="20"/>
          <w:color w:val="auto"/>
        </w:rPr>
      </w:pPr>
      <w:r>
        <w:rPr>
          <w:rFonts w:ascii="Arial" w:cs="Arial" w:eastAsia="Arial" w:hAnsi="Arial"/>
          <w:sz w:val="17"/>
          <w:szCs w:val="17"/>
          <w:color w:val="auto"/>
        </w:rPr>
        <w:t>The success of our business depends on eSports and live game streaming driving significant growth in the high-performance gaming and content streaming market, which could prompt strong growth in the sales of our gear. However, there are a number of factors which could result in the eSports or live game streaming markets having limited or negative impact on our sales and overall growth. These factors include:</w:t>
      </w:r>
    </w:p>
    <w:p>
      <w:pPr>
        <w:spacing w:after="0" w:line="57" w:lineRule="exact"/>
        <w:rPr>
          <w:sz w:val="20"/>
          <w:szCs w:val="20"/>
          <w:color w:val="auto"/>
        </w:rPr>
      </w:pPr>
    </w:p>
    <w:p>
      <w:pPr>
        <w:ind w:left="1000" w:hanging="493"/>
        <w:spacing w:after="0"/>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competitors marketing products that gain broader acceptance among eSports participants or streamers and content creators;</w:t>
      </w:r>
    </w:p>
    <w:p>
      <w:pPr>
        <w:spacing w:after="0" w:line="128" w:lineRule="exact"/>
        <w:rPr>
          <w:rFonts w:ascii="Arial" w:cs="Arial" w:eastAsia="Arial" w:hAnsi="Arial"/>
          <w:sz w:val="17"/>
          <w:szCs w:val="17"/>
          <w:color w:val="auto"/>
        </w:rPr>
      </w:pPr>
    </w:p>
    <w:p>
      <w:pPr>
        <w:ind w:left="1000" w:right="28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eSports amateurs and/or spectators not purchasing our gear that is utilized by eSports athletes and teams or streamers and content creators, including the eSports athletes and teams, and streamers we sponsor;</w:t>
      </w:r>
    </w:p>
    <w:p>
      <w:pPr>
        <w:spacing w:after="0" w:line="62"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popularity of eSports games that do not utilize any of our gear, for example games that run on mobile devices or tablets that replace more traditional eSports; and</w:t>
      </w:r>
    </w:p>
    <w:p>
      <w:pPr>
        <w:spacing w:after="0" w:line="62"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research and development and the gear we sell failing to satisfy the increasing high-performance requirements of competitive gamers or streamers.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Further, there are a number of factors which could result in the growth in the eSports or live game streaming markets stagnating, or even decreasing.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factors include:</w:t>
      </w:r>
    </w:p>
    <w:p>
      <w:pPr>
        <w:spacing w:after="0" w:line="103" w:lineRule="exact"/>
        <w:rPr>
          <w:sz w:val="20"/>
          <w:szCs w:val="20"/>
          <w:color w:val="auto"/>
        </w:rPr>
      </w:pPr>
    </w:p>
    <w:p>
      <w:pPr>
        <w:ind w:left="1000" w:hanging="493"/>
        <w:spacing w:after="0"/>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consumer interest in watching either live or streamed broadcasts of competitors playing video games diminishing or even disappearing;</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regulations limiting the broadcast of eSports or live streaming;</w:t>
      </w:r>
    </w:p>
    <w:p>
      <w:pPr>
        <w:spacing w:after="0" w:line="117" w:lineRule="exact"/>
        <w:rPr>
          <w:rFonts w:ascii="Arial" w:cs="Arial" w:eastAsia="Arial" w:hAnsi="Arial"/>
          <w:sz w:val="18"/>
          <w:szCs w:val="18"/>
          <w:color w:val="auto"/>
        </w:rPr>
      </w:pPr>
    </w:p>
    <w:p>
      <w:pPr>
        <w:ind w:left="1000" w:right="52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reduced accessibility of streaming and other gaming video content, whether due to platform fragmentation, the erection of paywalls, or otherwise;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economics or monetization of eSports performing below expectations, ultimately causing a decrease in outside investments in eSports.</w:t>
      </w:r>
    </w:p>
    <w:p>
      <w:pPr>
        <w:spacing w:after="0" w:line="23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If one or more of the above factors are realized, our business may be seriously harmed.</w:t>
      </w:r>
    </w:p>
    <w:p>
      <w:pPr>
        <w:spacing w:after="0" w:line="333" w:lineRule="exact"/>
        <w:rPr>
          <w:sz w:val="20"/>
          <w:szCs w:val="20"/>
          <w:color w:val="auto"/>
        </w:rPr>
      </w:pPr>
    </w:p>
    <w:p>
      <w:pPr>
        <w:ind w:left="520" w:right="120"/>
        <w:spacing w:after="0" w:line="277" w:lineRule="auto"/>
        <w:rPr>
          <w:sz w:val="20"/>
          <w:szCs w:val="20"/>
          <w:color w:val="auto"/>
        </w:rPr>
      </w:pPr>
      <w:r>
        <w:rPr>
          <w:rFonts w:ascii="Arial" w:cs="Arial" w:eastAsia="Arial" w:hAnsi="Arial"/>
          <w:sz w:val="18"/>
          <w:szCs w:val="18"/>
          <w:b w:val="1"/>
          <w:bCs w:val="1"/>
          <w:i w:val="1"/>
          <w:iCs w:val="1"/>
          <w:color w:val="auto"/>
        </w:rPr>
        <w:t>If we lose or are unable to attract and retain key management, our ability to compete could be seriously harmed and our financial performance could suffer.</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performance depends to a significant degree upon the contributions of our management team, particularly Andrew J. Paul, our co-</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founder, Chief Executive Officer and President. If we lose the services of one or more of our key executives, we may not be able to successfully manage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our business, meet competitive challenges or achieve our growth objectives. To the extent that our business grows, we will need to attract and retain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additional qualified management personnel in a timely manner, and we may not be able to do so.</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We rely on highly skilled personnel and if we are unable to attract, retain or motivate key personnel or hire qualified personnel our business may be seriously harmed.</w:t>
      </w:r>
    </w:p>
    <w:p>
      <w:pPr>
        <w:spacing w:after="0" w:line="62" w:lineRule="exact"/>
        <w:rPr>
          <w:sz w:val="20"/>
          <w:szCs w:val="20"/>
          <w:color w:val="auto"/>
        </w:rPr>
      </w:pPr>
    </w:p>
    <w:p>
      <w:pPr>
        <w:ind w:right="160" w:firstLine="510"/>
        <w:spacing w:after="0" w:line="289" w:lineRule="auto"/>
        <w:rPr>
          <w:sz w:val="20"/>
          <w:szCs w:val="20"/>
          <w:color w:val="auto"/>
        </w:rPr>
      </w:pPr>
      <w:r>
        <w:rPr>
          <w:rFonts w:ascii="Arial" w:cs="Arial" w:eastAsia="Arial" w:hAnsi="Arial"/>
          <w:sz w:val="16"/>
          <w:szCs w:val="16"/>
          <w:color w:val="auto"/>
        </w:rPr>
        <w:t>Our performance is largely dependent on the talents and efforts of highly skilled individuals, particularly our marketing personnel, sales force, electrical engineers, mechanical engineers and computer professionals. Our future success depends on our continuing ability to identify, hire, develop, motivate and retain highly skilled personnel and, if we are unable to hire and train a sufficient number of qualified employees for any reason, we may not be able to implement our current initiatives or grow, or our business may contract and we may lose market share. Moreover, certain of our competitors or other technology businesses may seek to hire our employees. We cannot assure you that our stock-based and other compensation will provide adequate incentives to attract, retain and motivate employees in the future, particularly if the market price of our common stock does not increase or declines. If we do not succeed in attracting, retaining and motivating highly qualified personnel, our business may be seriously harmed. Further, we also face significant competition for employees, particularly in the San Francisco Bay Area where our headquarters are located, and as a result, skilled employees in this competitive geographic location can often command higher compensation and may be difficult to hire.</w:t>
      </w:r>
    </w:p>
    <w:p>
      <w:pPr>
        <w:spacing w:after="0" w:line="274" w:lineRule="exact"/>
        <w:rPr>
          <w:sz w:val="20"/>
          <w:szCs w:val="20"/>
          <w:color w:val="auto"/>
        </w:rPr>
      </w:pPr>
    </w:p>
    <w:p>
      <w:pPr>
        <w:ind w:left="520" w:right="400"/>
        <w:spacing w:after="0" w:line="277" w:lineRule="auto"/>
        <w:rPr>
          <w:sz w:val="20"/>
          <w:szCs w:val="20"/>
          <w:color w:val="auto"/>
        </w:rPr>
      </w:pPr>
      <w:r>
        <w:rPr>
          <w:rFonts w:ascii="Arial" w:cs="Arial" w:eastAsia="Arial" w:hAnsi="Arial"/>
          <w:sz w:val="18"/>
          <w:szCs w:val="18"/>
          <w:b w:val="1"/>
          <w:bCs w:val="1"/>
          <w:i w:val="1"/>
          <w:iCs w:val="1"/>
          <w:color w:val="auto"/>
        </w:rPr>
        <w:t>Currency exchange rate fluctuations could result in our gear becoming relatively more expensive to our overseas customers or increase our manufacturing costs, each of which may seriously harm our business.</w:t>
      </w:r>
    </w:p>
    <w:p>
      <w:pPr>
        <w:spacing w:after="0" w:line="62"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Our international sales and our operations in foreign countries subject us to risks associated with fluctuating currency exchange rates. Because sales of our gear is denominated primarily in U.S. dollars, an increase in the value of the U.S. dollar relative to the currency used in the countries where our gear is sold may result in an increase in the price of our gear in those countries, which may lead to a reduction in sales. For example, continuing uncertainty of financial conditions in Europe, including concerns regarding the United Kingdom’s exit from the European Union, and the resulting economic instability and fluctuations in the values of the Euro and British pound compared to the U.S. dollar have led to variations in the local currency selling prices of, and therefore affected demand for, our gear in Europe and the United Kingdom. Likewise, because we pay our suppliers and third-party manufacturers, most of which are located outside of the United States, primarily in U.S. dollars, any decline in the value of the U.S. dollar relative to the applicable local currency, such as the Chinese Renminbi or the New Taiwan dollar, may cause our suppliers and manufacturers to raise the prices they charge us. In addition, we generally pay our employees located outside the United States in the local currency and, as a result of our foreign sales and operations, we have other expenses, assets and liabilities that are denominated in foreign currencies and changes in the value of the U.S. dollar could result in significant increases in our expenses that may seriously harm our business.</w:t>
      </w:r>
    </w:p>
    <w:p>
      <w:pPr>
        <w:spacing w:after="0" w:line="290" w:lineRule="exact"/>
        <w:rPr>
          <w:sz w:val="20"/>
          <w:szCs w:val="20"/>
          <w:color w:val="auto"/>
        </w:rPr>
      </w:pPr>
    </w:p>
    <w:p>
      <w:pPr>
        <w:ind w:left="520" w:right="120"/>
        <w:spacing w:after="0" w:line="277" w:lineRule="auto"/>
        <w:rPr>
          <w:sz w:val="20"/>
          <w:szCs w:val="20"/>
          <w:color w:val="auto"/>
        </w:rPr>
      </w:pPr>
      <w:r>
        <w:rPr>
          <w:rFonts w:ascii="Arial" w:cs="Arial" w:eastAsia="Arial" w:hAnsi="Arial"/>
          <w:sz w:val="18"/>
          <w:szCs w:val="18"/>
          <w:b w:val="1"/>
          <w:bCs w:val="1"/>
          <w:i w:val="1"/>
          <w:iCs w:val="1"/>
          <w:color w:val="auto"/>
        </w:rPr>
        <w:t>Total unit shipments of our gear tend to be higher during the third and fourth quarters of the year. As a result, our sales are subject to seasonal fluctuations, which may seriously harm our business.</w:t>
      </w:r>
    </w:p>
    <w:p>
      <w:pPr>
        <w:spacing w:after="0" w:line="62"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We have experienced and expect to continue to experience seasonal fluctuations in sales due to the spending patterns of gamers who purchase our gear. Our total unit shipments have generally been lowest in the first and second calendar quarters due to lower sales following the fourth quarter holiday season and because of the decline in sales that typically occurs in anticipation of the introduction of new or enhanced GPUs, CPUs and other computer hardware products, which usually takes place in the second calendar quarter and which tends to drive sales in the following two quarters. As a consequence of seasonality, our total unit shipments for the second calendar quarter are generally the lowest of the year, followed by total unit shipments for the first calendar quarter. We expect these seasonality trends to continue. As a result, our total unit shipments are subject to seasonal fluctuations, which may seriously harm our business.</w:t>
      </w:r>
    </w:p>
    <w:p>
      <w:pPr>
        <w:spacing w:after="0" w:line="303" w:lineRule="exact"/>
        <w:rPr>
          <w:sz w:val="20"/>
          <w:szCs w:val="20"/>
          <w:color w:val="auto"/>
        </w:rPr>
      </w:pPr>
    </w:p>
    <w:p>
      <w:pPr>
        <w:ind w:left="520" w:right="580"/>
        <w:spacing w:after="0" w:line="277" w:lineRule="auto"/>
        <w:rPr>
          <w:sz w:val="20"/>
          <w:szCs w:val="20"/>
          <w:color w:val="auto"/>
        </w:rPr>
      </w:pPr>
      <w:r>
        <w:rPr>
          <w:rFonts w:ascii="Arial" w:cs="Arial" w:eastAsia="Arial" w:hAnsi="Arial"/>
          <w:sz w:val="18"/>
          <w:szCs w:val="18"/>
          <w:b w:val="1"/>
          <w:bCs w:val="1"/>
          <w:i w:val="1"/>
          <w:iCs w:val="1"/>
          <w:color w:val="auto"/>
        </w:rPr>
        <w:t>Our results of operations are subject to substantial quarterly and annual fluctuations, which may adversely affect the market price of our common stock.</w:t>
      </w:r>
    </w:p>
    <w:p>
      <w:pPr>
        <w:spacing w:after="0" w:line="62" w:lineRule="exact"/>
        <w:rPr>
          <w:sz w:val="20"/>
          <w:szCs w:val="20"/>
          <w:color w:val="auto"/>
        </w:rPr>
      </w:pPr>
    </w:p>
    <w:p>
      <w:pPr>
        <w:ind w:right="280" w:firstLine="510"/>
        <w:spacing w:after="0" w:line="254" w:lineRule="auto"/>
        <w:rPr>
          <w:sz w:val="20"/>
          <w:szCs w:val="20"/>
          <w:color w:val="auto"/>
        </w:rPr>
      </w:pPr>
      <w:r>
        <w:rPr>
          <w:rFonts w:ascii="Arial" w:cs="Arial" w:eastAsia="Arial" w:hAnsi="Arial"/>
          <w:sz w:val="18"/>
          <w:szCs w:val="18"/>
          <w:color w:val="auto"/>
        </w:rPr>
        <w:t>Our results of operations have in the past fluctuated, sometimes substantially, from period to period, and we expect that these fluctuations will continue. A number of factors, many of which are outside our control, may cause or contribute to significant fluctuations in our quarterly and annual net revenue and other operating results. These fluctuations may make financial planning and forecasting more difficult. In addition, these fluctuations may result in unanticipated decreases in our available cash, which could negatively impact our business. These fluctuations also could both increase the volatility and adversely affect the market price of our common stock. There are numerous factors that may cause or contribute to fluctuations in our operating results. As discussed below, these factors may relate directly to our business or may relate to technological developments and economic conditions generally.</w:t>
      </w:r>
    </w:p>
    <w:p>
      <w:pPr>
        <w:spacing w:after="0" w:line="195"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i w:val="1"/>
          <w:iCs w:val="1"/>
          <w:color w:val="auto"/>
        </w:rPr>
        <w:t xml:space="preserve">Factors affecting our business and markets. </w:t>
      </w:r>
      <w:r>
        <w:rPr>
          <w:rFonts w:ascii="Arial" w:cs="Arial" w:eastAsia="Arial" w:hAnsi="Arial"/>
          <w:sz w:val="18"/>
          <w:szCs w:val="18"/>
          <w:color w:val="auto"/>
        </w:rPr>
        <w:t>Our result of operations may be materially adversely affected by factors that directly affect our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competitive conditions in our markets, including the following:</w:t>
      </w:r>
    </w:p>
    <w:p>
      <w:pPr>
        <w:spacing w:after="0" w:line="62" w:lineRule="exact"/>
        <w:rPr>
          <w:sz w:val="20"/>
          <w:szCs w:val="20"/>
          <w:color w:val="auto"/>
        </w:rPr>
      </w:pPr>
    </w:p>
    <w:p>
      <w:pPr>
        <w:ind w:left="5540" w:right="3260" w:hanging="5033"/>
        <w:spacing w:after="0" w:line="527" w:lineRule="auto"/>
        <w:tabs>
          <w:tab w:leader="none" w:pos="1013"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demand for our lower margin products relative to demand for our higher margin gear;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1000" w:hanging="493"/>
        <w:spacing w:after="0"/>
        <w:tabs>
          <w:tab w:leader="none" w:pos="10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introduction or enhancement of products by us and our competitors, and market acceptance of these new or enhanced products;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 of significant retail customers, cancellations or reductions of orders and product returns;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average selling prices of and demand for our gear;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 in demand for our gear due to our gear having higher price-points than products supplied by our competitors;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discounts and price reductions offered by our competitors;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delay, reduction or cessation of deliveries from one or more of the third parties that manufacture our gear;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costs or shortages of our gear or components used in our gear;</w:t>
      </w:r>
    </w:p>
    <w:p>
      <w:pPr>
        <w:spacing w:after="0" w:line="117" w:lineRule="exact"/>
        <w:rPr>
          <w:rFonts w:ascii="Arial" w:cs="Arial" w:eastAsia="Arial" w:hAnsi="Arial"/>
          <w:sz w:val="18"/>
          <w:szCs w:val="18"/>
          <w:color w:val="auto"/>
        </w:rPr>
      </w:pPr>
    </w:p>
    <w:p>
      <w:pPr>
        <w:ind w:left="1000" w:right="360" w:hanging="493"/>
        <w:spacing w:after="0" w:line="263"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frequency with which new high-performance computer hardware, particularly GPUs and CPUs, and sophisticated new computer games that drive demand for additional DRAM modules, higher wattage PSUs, enhanced cooling solutions and peripherals are introduced;</w:t>
      </w:r>
    </w:p>
    <w:p>
      <w:pPr>
        <w:spacing w:after="0" w:line="75" w:lineRule="exact"/>
        <w:rPr>
          <w:rFonts w:ascii="Arial" w:cs="Arial" w:eastAsia="Arial" w:hAnsi="Arial"/>
          <w:sz w:val="18"/>
          <w:szCs w:val="18"/>
          <w:color w:val="auto"/>
        </w:rPr>
      </w:pPr>
    </w:p>
    <w:p>
      <w:pPr>
        <w:ind w:left="1000" w:right="320" w:hanging="493"/>
        <w:spacing w:after="0" w:line="263"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the available supply of high-performance computer hardware resulting in the increased costs to gamers, which could ultimately lead to decreased demand for our gaming gear, due to factors such as component supply shortages or gamers purchasing GPUs for non-gaming purposes such as cryptocurrency mining;</w:t>
      </w:r>
    </w:p>
    <w:p>
      <w:pPr>
        <w:spacing w:after="0" w:line="75"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changes in trade relations arising from policy initiatives implemented by the current U.S. administration, which has been critical of existing and proposed trade agreements;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unexpected changes in laws, including tax and trade laws, and regulatory requirements;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or problems in our introduction of new gear;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or problems in the shipment or delivery of gear to customers;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freight costs;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purchasing patterns by the distributors and retailers to which we sell our gear;</w:t>
      </w:r>
    </w:p>
    <w:p>
      <w:pPr>
        <w:spacing w:after="0" w:line="117" w:lineRule="exact"/>
        <w:rPr>
          <w:rFonts w:ascii="Arial" w:cs="Arial" w:eastAsia="Arial" w:hAnsi="Arial"/>
          <w:sz w:val="18"/>
          <w:szCs w:val="18"/>
          <w:color w:val="auto"/>
        </w:rPr>
      </w:pPr>
    </w:p>
    <w:p>
      <w:pPr>
        <w:ind w:left="1000" w:right="280" w:hanging="493"/>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seasonal electronics product purchasing patterns by our retail and distributor customers, as well as the gamers and streamers that purchase their gear directly from us;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competitive pressures resulting in, among other things, lower selling prices or loss of market share;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cost and adverse outcomes of litigation, governmental proceedings or any proceedings to protect our brand or other intellectual property.</w:t>
      </w:r>
    </w:p>
    <w:p>
      <w:pPr>
        <w:spacing w:after="0" w:line="248"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i w:val="1"/>
          <w:iCs w:val="1"/>
          <w:color w:val="auto"/>
        </w:rPr>
        <w:t>General economic conditions</w:t>
      </w:r>
      <w:r>
        <w:rPr>
          <w:rFonts w:ascii="Arial" w:cs="Arial" w:eastAsia="Arial" w:hAnsi="Arial"/>
          <w:sz w:val="18"/>
          <w:szCs w:val="18"/>
          <w:color w:val="auto"/>
        </w:rPr>
        <w:t>. Our business may be materially adversely affected by factors relating to global, national and regional economies,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w:t>
      </w:r>
    </w:p>
    <w:p>
      <w:pPr>
        <w:spacing w:after="0" w:line="62" w:lineRule="exact"/>
        <w:rPr>
          <w:sz w:val="20"/>
          <w:szCs w:val="20"/>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uncertainty in economic conditions, either globally or in specific countries or regions;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outbreaks of pandemics, such as the novel coronavirus;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political instability, natural disasters, war and/or events of terrorism;</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macro-economic fluctuations in the United States and global economies, including those that impact discretionary consumer spending such as may result from the recent COVID-19 coronavirus outbreak;</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business cycles that affect the markets in which we sell our gear;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 of fluctuations in interest rates on consumer disposable income.</w:t>
      </w:r>
    </w:p>
    <w:p>
      <w:pPr>
        <w:spacing w:after="0" w:line="225" w:lineRule="exact"/>
        <w:rPr>
          <w:sz w:val="20"/>
          <w:szCs w:val="20"/>
          <w:color w:val="auto"/>
        </w:rPr>
      </w:pPr>
    </w:p>
    <w:p>
      <w:pPr>
        <w:jc w:val="both"/>
        <w:ind w:right="160" w:firstLine="510"/>
        <w:spacing w:after="0" w:line="263" w:lineRule="auto"/>
        <w:rPr>
          <w:sz w:val="20"/>
          <w:szCs w:val="20"/>
          <w:color w:val="auto"/>
        </w:rPr>
      </w:pPr>
      <w:r>
        <w:rPr>
          <w:rFonts w:ascii="Arial" w:cs="Arial" w:eastAsia="Arial" w:hAnsi="Arial"/>
          <w:sz w:val="18"/>
          <w:szCs w:val="18"/>
          <w:i w:val="1"/>
          <w:iCs w:val="1"/>
          <w:color w:val="auto"/>
        </w:rPr>
        <w:t>Technological factors</w:t>
      </w:r>
      <w:r>
        <w:rPr>
          <w:rFonts w:ascii="Arial" w:cs="Arial" w:eastAsia="Arial" w:hAnsi="Arial"/>
          <w:sz w:val="18"/>
          <w:szCs w:val="18"/>
          <w:color w:val="auto"/>
        </w:rPr>
        <w:t>. In addition to technological developments directly relating to our gear, more generalized changes in technology may have a</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effect on our operating results. For example, our business could be seriously harmed by rapid, wholesale changes in technology in or affecting the markets in which we compete or widespread adoption of cloud computing.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One or more of the foregoing or other factors may cause our expenses to be disproportionately higher or lower or may cause our net revenue and other operating results to fluctuate significantly in any particular quarterly or annual period. Our results of operations in one or more future quarters or years may fail to meet the expectations of investment research analysts or investors, which could cause an immediate and significant decline in the market price of our common stock.</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Cloud computing may seriously harm our business.</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Cloud computing refers to a computing environment in which software is run on third-party servers and accessed by end-users over the internet. In a cloud computing environment a user’s computer may be a so-called “dumb terminal” with minimal processing power and limited need for high-performance components. Through cloud computing, gamers will be able to access and play graphically sophisticated games that they may not be able to otherwise play on a PC that is not fully equipped with the necessary, and often expensive, hardware. If cloud computing is widely accepted, the demand for high-performance computer gaming hardware products such as the PC high-performance memory, prebuilt and custom gaming PCs and laptops, and other PC gaming components we sell, could diminish significantly. As a result, if cloud computing gaming were to become widely adopted, such adoption could seriously harm our business.</w:t>
      </w:r>
    </w:p>
    <w:p>
      <w:pPr>
        <w:spacing w:after="0" w:line="303" w:lineRule="exact"/>
        <w:rPr>
          <w:sz w:val="20"/>
          <w:szCs w:val="20"/>
          <w:color w:val="auto"/>
        </w:rPr>
      </w:pPr>
    </w:p>
    <w:p>
      <w:pPr>
        <w:ind w:left="520" w:right="360"/>
        <w:spacing w:after="0" w:line="277" w:lineRule="auto"/>
        <w:rPr>
          <w:sz w:val="20"/>
          <w:szCs w:val="20"/>
          <w:color w:val="auto"/>
        </w:rPr>
      </w:pPr>
      <w:r>
        <w:rPr>
          <w:rFonts w:ascii="Arial" w:cs="Arial" w:eastAsia="Arial" w:hAnsi="Arial"/>
          <w:sz w:val="18"/>
          <w:szCs w:val="18"/>
          <w:b w:val="1"/>
          <w:bCs w:val="1"/>
          <w:i w:val="1"/>
          <w:iCs w:val="1"/>
          <w:color w:val="auto"/>
        </w:rPr>
        <w:t>Conditions in the retail and consumer electronics markets may significantly affect our business and could have an adverse effect on our net revenue.</w:t>
      </w:r>
    </w:p>
    <w:p>
      <w:pPr>
        <w:spacing w:after="0" w:line="6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We derive most of our revenue from higher priced gear sold through online and brick-and-mortar retailers to gamers, and we are vulnerable to declines in consumer spending due to, among other things, depressed economic conditions, reductions in disposable income and other factors that affect the retail and consumer electronics markets generally. In addition, our revenues are attributable to sales of high-performance gamer and creator peripherals and gaming components and systems, all of which are products that are geared to the computer gaming market which, like other consumer electronic markets, is susceptible to the adverse effects of poor economic conditions.</w:t>
      </w:r>
    </w:p>
    <w:p>
      <w:pPr>
        <w:spacing w:after="0" w:line="188" w:lineRule="exact"/>
        <w:rPr>
          <w:sz w:val="20"/>
          <w:szCs w:val="20"/>
          <w:color w:val="auto"/>
        </w:rPr>
      </w:pPr>
    </w:p>
    <w:p>
      <w:pPr>
        <w:ind w:right="100" w:firstLine="510"/>
        <w:spacing w:after="0" w:line="301" w:lineRule="auto"/>
        <w:rPr>
          <w:sz w:val="20"/>
          <w:szCs w:val="20"/>
          <w:color w:val="auto"/>
        </w:rPr>
      </w:pPr>
      <w:r>
        <w:rPr>
          <w:rFonts w:ascii="Arial" w:cs="Arial" w:eastAsia="Arial" w:hAnsi="Arial"/>
          <w:sz w:val="16"/>
          <w:szCs w:val="16"/>
          <w:color w:val="auto"/>
        </w:rPr>
        <w:t>Other significant negative effects could include limited growth or reductions in worldwide sales of products that incorporate DRAM modules, such as PCs, smartphones and servers, resulting in excess supply in the worldwide DRAM market and reduced demand for our gear from our customers as they limit or lower their spending and inventory levels. Adverse economic conditions may also reduce our cash flow due to delays in customer payments, increase the risk of customer bankruptcy or business failures and result in increases in bad debt write-offs and receivables reserves.</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negative effects on our business resulting from adverse economic conditions worldwide may include:</w:t>
      </w:r>
    </w:p>
    <w:p>
      <w:pPr>
        <w:spacing w:after="0" w:line="117" w:lineRule="exact"/>
        <w:rPr>
          <w:sz w:val="20"/>
          <w:szCs w:val="20"/>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higher costs for promotions, customer incentive programs and other initiatives used to stimulate demand;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risk of excess and obsolete inventories, which may require write-downs or impairment charges;</w:t>
      </w:r>
    </w:p>
    <w:p>
      <w:pPr>
        <w:spacing w:after="0" w:line="117"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financial distress or bankruptcy of key suppliers or third-party manufacturers, resulting in insufficient product quantities to meet demand or increases in the cost of producing our gear;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financial distress or bankruptcy of key distributors, resellers or retailers.</w:t>
      </w:r>
    </w:p>
    <w:p>
      <w:pPr>
        <w:spacing w:after="0" w:line="225"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Depressed economic conditions, whether in our key regional markets or globally, could result in a decline in both product prices and the demand for our gear, which may seriously harm our business.</w:t>
      </w:r>
    </w:p>
    <w:p>
      <w:pPr>
        <w:spacing w:after="0" w:line="278" w:lineRule="exact"/>
        <w:rPr>
          <w:sz w:val="20"/>
          <w:szCs w:val="20"/>
          <w:color w:val="auto"/>
        </w:rPr>
      </w:pPr>
    </w:p>
    <w:p>
      <w:pPr>
        <w:ind w:left="520" w:right="540"/>
        <w:spacing w:after="0" w:line="277" w:lineRule="auto"/>
        <w:rPr>
          <w:sz w:val="20"/>
          <w:szCs w:val="20"/>
          <w:color w:val="auto"/>
        </w:rPr>
      </w:pPr>
      <w:r>
        <w:rPr>
          <w:rFonts w:ascii="Arial" w:cs="Arial" w:eastAsia="Arial" w:hAnsi="Arial"/>
          <w:sz w:val="18"/>
          <w:szCs w:val="18"/>
          <w:b w:val="1"/>
          <w:bCs w:val="1"/>
          <w:i w:val="1"/>
          <w:iCs w:val="1"/>
          <w:color w:val="auto"/>
        </w:rPr>
        <w:t>Our sponsorship of individuals, teams and events within the gaming community is subject to numerous risks that may seriously harm our business.</w:t>
      </w:r>
    </w:p>
    <w:p>
      <w:pPr>
        <w:spacing w:after="0" w:line="62"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We interact with the gaming community in numerous ways, including through the sponsorship of streamers, eSports events, tournaments, eSports athletes and teams. These sponsored events and individuals are associated with our brand and represent our commitment to the gaming community. We cannot assure you that we will be able to maintain our existing relationships with any of our sponsored individuals or teams in the future or that we will be able to attract new highly visible gamers to endorse our gear. Additionally, certain individuals or teams with greater access to capital may increase the cost of certain sponsorships to levels we may choose not to match. If this were to occur, our sponsored individuals, teams or events may terminate their relationships with us and endorse our competitors’ products, and we may be unable to obtain endorsements from other comparable alternatives. In addition, if any of our sponsored individuals or teams become unpopular or engage in activities perceived negatively in the gaming community or more broadly, our sponsorship expenditures could be wasted and our brand reputation could be damaged which, in turn, could seriously harm our business.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520" w:right="660"/>
        <w:spacing w:after="0" w:line="277" w:lineRule="auto"/>
        <w:rPr>
          <w:sz w:val="20"/>
          <w:szCs w:val="20"/>
          <w:color w:val="auto"/>
        </w:rPr>
      </w:pPr>
      <w:r>
        <w:rPr>
          <w:rFonts w:ascii="Arial" w:cs="Arial" w:eastAsia="Arial" w:hAnsi="Arial"/>
          <w:sz w:val="18"/>
          <w:szCs w:val="18"/>
          <w:b w:val="1"/>
          <w:bCs w:val="1"/>
          <w:i w:val="1"/>
          <w:iCs w:val="1"/>
          <w:color w:val="auto"/>
        </w:rPr>
        <w:t>DRAM integrated circuits account for most of the cost of producing our DRAM modules and fluctuations in the market price of DRAM integrated circuits may have a material impact on our net revenue and gross profit.</w:t>
      </w:r>
    </w:p>
    <w:p>
      <w:pPr>
        <w:spacing w:after="0" w:line="62" w:lineRule="exact"/>
        <w:rPr>
          <w:sz w:val="20"/>
          <w:szCs w:val="20"/>
          <w:color w:val="auto"/>
        </w:rPr>
      </w:pPr>
    </w:p>
    <w:p>
      <w:pPr>
        <w:ind w:right="80" w:firstLine="510"/>
        <w:spacing w:after="0" w:line="288" w:lineRule="auto"/>
        <w:rPr>
          <w:sz w:val="20"/>
          <w:szCs w:val="20"/>
          <w:color w:val="auto"/>
        </w:rPr>
      </w:pPr>
      <w:r>
        <w:rPr>
          <w:rFonts w:ascii="Arial" w:cs="Arial" w:eastAsia="Arial" w:hAnsi="Arial"/>
          <w:sz w:val="16"/>
          <w:szCs w:val="16"/>
          <w:color w:val="auto"/>
        </w:rPr>
        <w:t>DRAM integrated circuits, or ICs, account for most of the cost of producing our DRAM modules. The market for these ICs is highly competitive and cyclical. Prices of DRAM ICs have historically been subject to volatility over relatively short periods of time due to a number of factors, including imbalances in supply and demand. We expect these fluctuations will recur in the future, which could seriously harm our business. For example, changes in the selling prices of our DRAM modules can have a substantial impact on our net revenue as our performance memory products represents a significant portion of our overall net revenue. In addition, declines in the market price of ICs enable our competitors to lower prices and we will likely be forced to lower our product prices in order to compete effectively which could have an adverse effect on our net revenue. Further, because we carry inventories of DRAM ICs and DRAM modules at our facility in Taiwan, fluctuations in the market price of these ICs can have an effect on our gross margin. For example, declines in the prices of these ICs and their related products have tended to have a negative short-term impact on gross margin of our DRAM modules. In addition, selling prices of our DRAM modules, on the one hand, and market prices of DRAM ICs, on the other hand, may rise or fall at different rates, which may also affect our gross margin. Any of these circumstances could materially adversely affect our net revenue and gross margins.</w:t>
      </w:r>
    </w:p>
    <w:p>
      <w:pPr>
        <w:spacing w:after="0" w:line="168" w:lineRule="exact"/>
        <w:rPr>
          <w:sz w:val="20"/>
          <w:szCs w:val="20"/>
          <w:color w:val="auto"/>
        </w:rPr>
      </w:pPr>
    </w:p>
    <w:p>
      <w:pPr>
        <w:ind w:right="140" w:firstLine="510"/>
        <w:spacing w:after="0" w:line="290" w:lineRule="auto"/>
        <w:rPr>
          <w:sz w:val="20"/>
          <w:szCs w:val="20"/>
          <w:color w:val="auto"/>
        </w:rPr>
      </w:pPr>
      <w:r>
        <w:rPr>
          <w:rFonts w:ascii="Arial" w:cs="Arial" w:eastAsia="Arial" w:hAnsi="Arial"/>
          <w:sz w:val="16"/>
          <w:szCs w:val="16"/>
          <w:color w:val="auto"/>
        </w:rPr>
        <w:t>We use DRAM ICs produced by Samsung, Micron and Hynix in our DRAM modules. We purchase those DRAM ICs, pursuant to purchase orders and not long-term supply contracts, largely from third-party distributors and, to a lesser extent, directly from those manufacturers. According to market share data for DRAM IC manufacturers appearing on the website of DRAM Exchange, a market research firm, Samsung, a manufacturer of DRAM ICs, had an approximately 46% share of the worldwide DRAM IC market for 2017, compared to approximately 29% for Hynix and approximately 21% for Micron in each case for the same period. However, should supply from any of these vendors be limited, we cannot assure you that we would be able to meet our needs by purchasing DRAM ICs produced by other manufacturers or from agents and distributors. Further, there are a limited number of companies capable of producing the high-speed DRAM ICs required for our high-performance DRAM modules, and any inability to procure the requisite quantities and quality of DRAM ICs could reduce our production of DRAM modules and could seriously harm our business.</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coronavirus outbreak has had, and could continue to have, a materially disruptive effect on our business.</w:t>
      </w:r>
    </w:p>
    <w:p>
      <w:pPr>
        <w:spacing w:after="0" w:line="117"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A novel strain of coronavirus emerged in December 2019. This coronavirus and COVID-19, the disease it causes, has spread globally and has resulted in authorities implementing numerous measures to try to contain the virus, such as travel bans and restrictions, quarantines, shelter-in-place orders and shutdowns. For example, starting in mid-March 2020, the governor of California, where our headquarters are located, issued shelter-in-place orders restricting non-essential activities, travel and business operations for an indefinite period of time, subject to certain exceptions for necessary activities. Such orders or restrictions have resulted in our headquarters closing, work stoppages, slowdowns and delays, travel restrictions and cancellation of events, among other effects, thereby negatively impacting our operations.</w:t>
      </w:r>
    </w:p>
    <w:p>
      <w:pPr>
        <w:spacing w:after="0" w:line="178"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The spread of COVID-19 has and could continue to seriously harm our business. Current and potential impacts include, but are not limited to, the following:</w:t>
      </w:r>
    </w:p>
    <w:p>
      <w:pPr>
        <w:spacing w:after="0" w:line="62" w:lineRule="exact"/>
        <w:rPr>
          <w:sz w:val="20"/>
          <w:szCs w:val="20"/>
          <w:color w:val="auto"/>
        </w:rPr>
      </w:pPr>
    </w:p>
    <w:p>
      <w:pPr>
        <w:jc w:val="both"/>
        <w:ind w:left="1000" w:right="380" w:hanging="493"/>
        <w:spacing w:after="0" w:line="263"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extended closures in early February 2020 and slow ramp up of capacity of many factories in China and other countries in Asia where many of our products and the components and subcomponents used in the manufacture of our gear created, and could continue to create, supply chain disruptions for our gear;</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supply and transportation costs have increased, and may continue to increase, as alternate suppliers are sought;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labor shortages within delivery and other industries due to extended worker absences could create further supply chain disruptions;</w:t>
      </w:r>
    </w:p>
    <w:p>
      <w:pPr>
        <w:spacing w:after="0" w:line="128" w:lineRule="exact"/>
        <w:rPr>
          <w:rFonts w:ascii="Arial" w:cs="Arial" w:eastAsia="Arial" w:hAnsi="Arial"/>
          <w:sz w:val="17"/>
          <w:szCs w:val="17"/>
          <w:color w:val="auto"/>
        </w:rPr>
      </w:pPr>
    </w:p>
    <w:p>
      <w:pPr>
        <w:ind w:left="1000" w:right="44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extended employee absences could negatively impact our business, including potential reductions in the availability of the sales team to complete sales and delays in deliverables and timelines within our engineering and support functions;</w:t>
      </w:r>
    </w:p>
    <w:p>
      <w:pPr>
        <w:spacing w:after="0" w:line="62"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foreign exchange rates could make our products less competitive in a price-sensitive environment for our non-US customers; and</w:t>
      </w:r>
    </w:p>
    <w:p>
      <w:pPr>
        <w:spacing w:after="0" w:line="62" w:lineRule="exact"/>
        <w:rPr>
          <w:rFonts w:ascii="Arial" w:cs="Arial" w:eastAsia="Arial" w:hAnsi="Arial"/>
          <w:sz w:val="18"/>
          <w:szCs w:val="18"/>
          <w:color w:val="auto"/>
        </w:rPr>
      </w:pPr>
    </w:p>
    <w:p>
      <w:pPr>
        <w:ind w:left="1000" w:right="54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significant disruption of global financial markets, reducing our ability to access capital, which could in the future negatively affect our liquidity, including our ability to repay the indebtedness outstanding from our credit facilities.</w:t>
      </w:r>
    </w:p>
    <w:p>
      <w:pPr>
        <w:spacing w:after="0" w:line="170"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The extent to which the COVID-19 outbreak ultimately impacts our business, sales, results of operations and financial condition will depend on future developments, which are highly uncertain and cannot be predicted, including, but not limited to, the duration and spread of the outbreak, its severity, the actions to contain the virus or treat its impact, and how quickly and to what extent normal economic and operating conditions can resume. Even after the COVID-19 outbreak has subsided, we may continue to experience significant impacts to our business as a result of its global economic impact, including any economic downturn or recession that has occurred or may occur in the future.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A significant portion of our net revenue is generated by sales of DRAM modules and any significant decrease in the average selling prices of our DRAM modules would seriously harm our business.</w:t>
      </w:r>
    </w:p>
    <w:p>
      <w:pPr>
        <w:spacing w:after="0" w:line="62"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A significant percentage of our net revenue is generated by sales of DRAM modules. In particular, net revenue generated by sales of DRAM modules accounted for a total of 39.1% and 34.2% of our net revenue in 2019 and for the nine months ended September 30, 2020, respectively. As a result, any significant decrease in average selling prices of our DRAM modules, whether as a result of declining market prices of DRAM ICs or for any other reason, would seriously harm our business. Selling prices for our DRAM modules tend to increase or decrease with increases or decreases, respectively, in market prices of DRAM ICs.</w:t>
      </w:r>
    </w:p>
    <w:p>
      <w:pPr>
        <w:spacing w:after="0" w:line="296" w:lineRule="exact"/>
        <w:rPr>
          <w:sz w:val="20"/>
          <w:szCs w:val="20"/>
          <w:color w:val="auto"/>
        </w:rPr>
      </w:pPr>
    </w:p>
    <w:p>
      <w:pPr>
        <w:ind w:left="520" w:right="100"/>
        <w:spacing w:after="0" w:line="277" w:lineRule="auto"/>
        <w:rPr>
          <w:sz w:val="20"/>
          <w:szCs w:val="20"/>
          <w:color w:val="auto"/>
        </w:rPr>
      </w:pPr>
      <w:r>
        <w:rPr>
          <w:rFonts w:ascii="Arial" w:cs="Arial" w:eastAsia="Arial" w:hAnsi="Arial"/>
          <w:sz w:val="18"/>
          <w:szCs w:val="18"/>
          <w:b w:val="1"/>
          <w:bCs w:val="1"/>
          <w:i w:val="1"/>
          <w:iCs w:val="1"/>
          <w:color w:val="auto"/>
        </w:rPr>
        <w:t>Sales to a limited number of customers represent a significant portion of our net revenue, and the loss of one or more of our key customers may seriously harm our business.</w:t>
      </w:r>
    </w:p>
    <w:p>
      <w:pPr>
        <w:spacing w:after="0" w:line="62" w:lineRule="exact"/>
        <w:rPr>
          <w:sz w:val="20"/>
          <w:szCs w:val="20"/>
          <w:color w:val="auto"/>
        </w:rPr>
      </w:pPr>
    </w:p>
    <w:p>
      <w:pPr>
        <w:ind w:right="60" w:firstLine="510"/>
        <w:spacing w:after="0" w:line="286" w:lineRule="auto"/>
        <w:rPr>
          <w:sz w:val="20"/>
          <w:szCs w:val="20"/>
          <w:color w:val="auto"/>
        </w:rPr>
      </w:pPr>
      <w:r>
        <w:rPr>
          <w:rFonts w:ascii="Arial" w:cs="Arial" w:eastAsia="Arial" w:hAnsi="Arial"/>
          <w:sz w:val="16"/>
          <w:szCs w:val="16"/>
          <w:color w:val="auto"/>
        </w:rPr>
        <w:t>In 2019 and for the nine months ended September 30, 2020, sales to Amazon, accounted for 25.1% and 25.1%, of our net revenue, and sales to our ten largest customers accounted for 51.6% and 51.2% of the same periods, respectively, of our net revenue. Our customers typically do not enter into long-term agreements to purchase our gear but instead enter into purchase orders with us from time to time. These purchase orders may generally be cancelled and orders can be reduced or postponed by the customer. In addition, our customers are under no obligation to continue purchasing from us and may purchase similar products from our competitors, and some of our customer agreements contain “most favored nation” clauses. Further, while we maintain accounts receivables insurance for many of our customers, we do not maintain such coverage for Amazon or for any customer in China. As a result, if either Amazon or any customer in China were to default on its payment to us, we would not be covered by such insurance, and our business may be seriously harmed. If the financial condition of a key customer weakens, if a key customer stops purchasing our gear, or if uncertainty regarding demand for our gear causes a key customer to reduce their orders and marketing of our gear, our business could be seriously harmed. A decision by one or more of our key customers to reduce, delay or cancel its orders from us, either as a result of industry conditions or specific events relating to a particular customer or failure or inability to pay amounts owed to us in a timely manner, or at all, may seriously harm our business. In addition, because of our reliance on key customers, the loss of one or more key customers as a result of bankruptcy or liquidation or otherwise, and the resulting loss of sales, may seriously harm our business. Additionally, some of our customer agreements contain “most favored nation” clauses.</w:t>
      </w:r>
    </w:p>
    <w:p>
      <w:pPr>
        <w:spacing w:after="0" w:line="282" w:lineRule="exact"/>
        <w:rPr>
          <w:sz w:val="20"/>
          <w:szCs w:val="20"/>
          <w:color w:val="auto"/>
        </w:rPr>
      </w:pPr>
    </w:p>
    <w:p>
      <w:pPr>
        <w:ind w:left="520" w:right="60"/>
        <w:spacing w:after="0" w:line="259" w:lineRule="auto"/>
        <w:rPr>
          <w:sz w:val="20"/>
          <w:szCs w:val="20"/>
          <w:color w:val="auto"/>
        </w:rPr>
      </w:pPr>
      <w:r>
        <w:rPr>
          <w:rFonts w:ascii="Arial" w:cs="Arial" w:eastAsia="Arial" w:hAnsi="Arial"/>
          <w:sz w:val="18"/>
          <w:szCs w:val="18"/>
          <w:b w:val="1"/>
          <w:bCs w:val="1"/>
          <w:i w:val="1"/>
          <w:iCs w:val="1"/>
          <w:color w:val="auto"/>
        </w:rPr>
        <w:t>We have limited manufacturing facilities that only assemble our DRAM modules, custom built PCs, custom cooling and controllers, we have no guaranteed sources of supply of products or components and we depend upon a small number of manufacturers, some of which are exclusive or single-source suppliers, to supply our gear, each of which may result in product or component shortages, delayed deliveries and quality control problems.</w:t>
      </w:r>
    </w:p>
    <w:p>
      <w:pPr>
        <w:spacing w:after="0" w:line="79"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We maintain limited manufacturing facilities that only produce DRAM modules, custom built PCs, custom cooling and performance controllers, and as a result, we depend entirely upon third parties to manufacture and supply the gear we sell and the components used in our gear such as gaming peripherals and gaming components. Our gear that is manufactured by outsourced parties is generally produced by a limited number of manufacturers and in some instances is purchased on a purchase order basis. For example, each model of our gaming keyboards, gaming mice, gaming headsets, computer cases, PSUs and cooling solutions is produced by a single manufacturer. We do not have long-term supply agreements with some of our manufacturers and suppliers. In addition, we carry limited inventories of our gear, and the loss of one or more of these manufacturers or suppliers, or a significant decline in production or deliveries by any of them, could significantly limit our shipments of gear or prevent us from shipping that gear entirely.</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reliance upon a limited number of manufacturers and suppliers exposes us to numerous risks, including those described below.</w:t>
      </w:r>
    </w:p>
    <w:p>
      <w:pPr>
        <w:spacing w:after="0" w:line="225"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i w:val="1"/>
          <w:iCs w:val="1"/>
          <w:color w:val="auto"/>
        </w:rPr>
        <w:t xml:space="preserve">Risks relating to production and manufacturing. </w:t>
      </w:r>
      <w:r>
        <w:rPr>
          <w:rFonts w:ascii="Arial" w:cs="Arial" w:eastAsia="Arial" w:hAnsi="Arial"/>
          <w:sz w:val="17"/>
          <w:szCs w:val="17"/>
          <w:color w:val="auto"/>
        </w:rPr>
        <w:t>Our business could be seriously harmed if our manufacturers or suppliers ceased or reduced</w:t>
      </w:r>
      <w:r>
        <w:rPr>
          <w:rFonts w:ascii="Arial" w:cs="Arial" w:eastAsia="Arial" w:hAnsi="Arial"/>
          <w:sz w:val="17"/>
          <w:szCs w:val="17"/>
          <w:i w:val="1"/>
          <w:iCs w:val="1"/>
          <w:color w:val="auto"/>
        </w:rPr>
        <w:t xml:space="preserve"> </w:t>
      </w:r>
      <w:r>
        <w:rPr>
          <w:rFonts w:ascii="Arial" w:cs="Arial" w:eastAsia="Arial" w:hAnsi="Arial"/>
          <w:sz w:val="17"/>
          <w:szCs w:val="17"/>
          <w:color w:val="auto"/>
        </w:rPr>
        <w:t>production or deliveries, raised prices, lengthened production or delivery times or changed other terms of sale. In particular, price increases by our manufacturers or suppliers could seriously harm our business if we are unable to pass those price increases along to our customers. Furthermore, the supply of products from manufacturers and suppliers to us could be interrupted or delayed, and we may be unable to obtain sufficient quantities of our products because of factors outside of our control. For example, our manufacturers and suppliers may experience financial difficulties, be affected by natural disasters or pandemics, have limited production facilities or manufacturing capacity, may experience labor shortages or may be adversely affected by regional unrest or military actions. In addition, we may be slower than our competitors in introducing new products or reacting to changes in our markets due to production or delivery delays by our third-party manufacturers or suppliers. Likewise, lead times for the delivery of products being manufactured for us can vary significantly and depend on many factors outside of our control, such as demand for manufacturing capacity and availability of components. In addition, if one of our exclusive or single-source manufacturers were to stop production, or experience product quality or shortage issues, we may be unable to locate or engage a suitable replacement 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terms we consider acceptable and, in any event, there would likely be significant delays before we were able to transition production to a new manufacturer and potentially significant costs associated with that transition.</w:t>
      </w:r>
    </w:p>
    <w:p>
      <w:pPr>
        <w:spacing w:after="0" w:line="170" w:lineRule="exact"/>
        <w:rPr>
          <w:sz w:val="20"/>
          <w:szCs w:val="20"/>
          <w:color w:val="auto"/>
        </w:rPr>
      </w:pPr>
    </w:p>
    <w:p>
      <w:pPr>
        <w:jc w:val="both"/>
        <w:ind w:right="20" w:firstLine="510"/>
        <w:spacing w:after="0" w:line="286" w:lineRule="auto"/>
        <w:rPr>
          <w:sz w:val="20"/>
          <w:szCs w:val="20"/>
          <w:color w:val="auto"/>
        </w:rPr>
      </w:pPr>
      <w:r>
        <w:rPr>
          <w:rFonts w:ascii="Arial" w:cs="Arial" w:eastAsia="Arial" w:hAnsi="Arial"/>
          <w:sz w:val="17"/>
          <w:szCs w:val="17"/>
          <w:i w:val="1"/>
          <w:iCs w:val="1"/>
          <w:color w:val="auto"/>
        </w:rPr>
        <w:t>Risks relating to product quality</w:t>
      </w:r>
      <w:r>
        <w:rPr>
          <w:rFonts w:ascii="Arial" w:cs="Arial" w:eastAsia="Arial" w:hAnsi="Arial"/>
          <w:sz w:val="17"/>
          <w:szCs w:val="17"/>
          <w:color w:val="auto"/>
        </w:rPr>
        <w:t>. Our manufacturers or suppliers may provide us with products or components that do not perform reliably or do not</w:t>
      </w:r>
      <w:r>
        <w:rPr>
          <w:rFonts w:ascii="Arial" w:cs="Arial" w:eastAsia="Arial" w:hAnsi="Arial"/>
          <w:sz w:val="17"/>
          <w:szCs w:val="17"/>
          <w:i w:val="1"/>
          <w:iCs w:val="1"/>
          <w:color w:val="auto"/>
        </w:rPr>
        <w:t xml:space="preserve"> </w:t>
      </w:r>
      <w:r>
        <w:rPr>
          <w:rFonts w:ascii="Arial" w:cs="Arial" w:eastAsia="Arial" w:hAnsi="Arial"/>
          <w:sz w:val="17"/>
          <w:szCs w:val="17"/>
          <w:color w:val="auto"/>
        </w:rPr>
        <w:t>meet our quality standards or performance specifications or are susceptible to early failure or contain other defects. This may seriously harm our reputation, increase our warranty and other costs or lead to product returns or recalls, any of which may seriously harm our business.</w:t>
      </w:r>
    </w:p>
    <w:p>
      <w:pPr>
        <w:spacing w:after="0" w:line="165" w:lineRule="exact"/>
        <w:rPr>
          <w:sz w:val="20"/>
          <w:szCs w:val="20"/>
          <w:color w:val="auto"/>
        </w:rPr>
      </w:pPr>
    </w:p>
    <w:p>
      <w:pPr>
        <w:ind w:right="180" w:firstLine="510"/>
        <w:spacing w:after="0" w:line="257" w:lineRule="auto"/>
        <w:rPr>
          <w:sz w:val="20"/>
          <w:szCs w:val="20"/>
          <w:color w:val="auto"/>
        </w:rPr>
      </w:pPr>
      <w:r>
        <w:rPr>
          <w:rFonts w:ascii="Arial" w:cs="Arial" w:eastAsia="Arial" w:hAnsi="Arial"/>
          <w:sz w:val="18"/>
          <w:szCs w:val="18"/>
          <w:i w:val="1"/>
          <w:iCs w:val="1"/>
          <w:color w:val="auto"/>
        </w:rPr>
        <w:t xml:space="preserve">Risks relating to product and component shortages. </w:t>
      </w:r>
      <w:r>
        <w:rPr>
          <w:rFonts w:ascii="Arial" w:cs="Arial" w:eastAsia="Arial" w:hAnsi="Arial"/>
          <w:sz w:val="18"/>
          <w:szCs w:val="18"/>
          <w:color w:val="auto"/>
        </w:rPr>
        <w:t>From time to time we have experienced product shortages due to both disruptions in supply</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third parties that manufacture or supply our gear and our inability or the inability of these third-party manufacturers to obtain necessary components, and we may experience similar shortages in the future. Moreover, procurement of the other components used in our gear is generally the responsibility of the third parties that manufacture our gear, and we therefore have limited or no ability to control or influence the procurement process or to monitor the quality of components.</w:t>
      </w:r>
    </w:p>
    <w:p>
      <w:pPr>
        <w:spacing w:after="0" w:line="188"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Any disruption in or termination of our relationships with any of our manufacturers or suppliers or our inability to develop relationships with new manufacturers or suppliers as and when required would cause delays, disruptions or reductions in product shipment and may require product redesigns, all of which could damage relationships with our customers, seriously harm our brand, increase our costs and otherwise seriously harm our business. Likewise, shortages or interruptions in the supply of products or components, or any inability to procure these products or components from alternate sources at acceptable prices in a timely manner, could delay shipments to our customers and increase our costs, any of which may seriously harm our business.</w:t>
      </w:r>
    </w:p>
    <w:p>
      <w:pPr>
        <w:spacing w:after="0" w:line="269" w:lineRule="exact"/>
        <w:rPr>
          <w:sz w:val="20"/>
          <w:szCs w:val="20"/>
          <w:color w:val="auto"/>
        </w:rPr>
      </w:pPr>
    </w:p>
    <w:p>
      <w:pPr>
        <w:ind w:left="520" w:right="620"/>
        <w:spacing w:after="0" w:line="342" w:lineRule="auto"/>
        <w:rPr>
          <w:sz w:val="20"/>
          <w:szCs w:val="20"/>
          <w:color w:val="auto"/>
        </w:rPr>
      </w:pPr>
      <w:r>
        <w:rPr>
          <w:rFonts w:ascii="Arial" w:cs="Arial" w:eastAsia="Arial" w:hAnsi="Arial"/>
          <w:sz w:val="16"/>
          <w:szCs w:val="16"/>
          <w:b w:val="1"/>
          <w:bCs w:val="1"/>
          <w:i w:val="1"/>
          <w:iCs w:val="1"/>
          <w:color w:val="auto"/>
        </w:rPr>
        <w:t>If our proprietary iCUE software or Elgato streaming software suite have any “bugs” or glitches, or if we are unable to update the iCUE software or Elgato streaming software suite to incorporate innovations, our business may be seriously harmed.</w:t>
      </w:r>
    </w:p>
    <w:p>
      <w:pPr>
        <w:spacing w:after="0" w:line="16"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Because most of the gear we sell is linked through either our iCUE software or our Elgato streaming software suite, “bugs” or other glitches in the software may cause it to not perform reliably, meet our quality standards or meet performance specifications. Further, even if we detect any bugs or other glitches in the iCUE software or our Elgato streaming software suite we may be unable to update the affected software effectively to remediate these problems. In addition, in order for us to stay competitive, we need to update the iCUE software, Elgato streaming software suit and any other software utilized by our gear, to incorporate innovations and other changes to address gamers and content creators’ changing needs. If we are unable to update the iCUE software or our Elgato streaming software suite to include such updates or address any bugs or glitches, its use to gamers and content creators may be substantially diminished, which could seriously harm our business.</w:t>
      </w:r>
    </w:p>
    <w:p>
      <w:pPr>
        <w:spacing w:after="0" w:line="285" w:lineRule="exact"/>
        <w:rPr>
          <w:sz w:val="20"/>
          <w:szCs w:val="20"/>
          <w:color w:val="auto"/>
        </w:rPr>
      </w:pPr>
    </w:p>
    <w:p>
      <w:pPr>
        <w:ind w:left="520" w:right="260"/>
        <w:spacing w:after="0" w:line="263" w:lineRule="auto"/>
        <w:rPr>
          <w:sz w:val="20"/>
          <w:szCs w:val="20"/>
          <w:color w:val="auto"/>
        </w:rPr>
      </w:pPr>
      <w:r>
        <w:rPr>
          <w:rFonts w:ascii="Arial" w:cs="Arial" w:eastAsia="Arial" w:hAnsi="Arial"/>
          <w:sz w:val="18"/>
          <w:szCs w:val="18"/>
          <w:b w:val="1"/>
          <w:bCs w:val="1"/>
          <w:i w:val="1"/>
          <w:iCs w:val="1"/>
          <w:color w:val="auto"/>
        </w:rPr>
        <w:t>The need to continuously develop new gear and product improvements increases the risk that our gear will contain defects or fail to meet specifications, which may increase our warranty costs and product returns, lead to recalls of gear, damage our reputation and seriously harm our business.</w:t>
      </w:r>
    </w:p>
    <w:p>
      <w:pPr>
        <w:spacing w:after="0" w:line="76" w:lineRule="exact"/>
        <w:rPr>
          <w:sz w:val="20"/>
          <w:szCs w:val="20"/>
          <w:color w:val="auto"/>
        </w:rPr>
      </w:pPr>
    </w:p>
    <w:p>
      <w:pPr>
        <w:ind w:right="40" w:firstLine="510"/>
        <w:spacing w:after="0" w:line="287" w:lineRule="auto"/>
        <w:rPr>
          <w:sz w:val="20"/>
          <w:szCs w:val="20"/>
          <w:color w:val="auto"/>
        </w:rPr>
      </w:pPr>
      <w:r>
        <w:rPr>
          <w:rFonts w:ascii="Arial" w:cs="Arial" w:eastAsia="Arial" w:hAnsi="Arial"/>
          <w:sz w:val="16"/>
          <w:szCs w:val="16"/>
          <w:color w:val="auto"/>
        </w:rPr>
        <w:t>Gear that does not meet specifications or that contains, or is perceived by our customers or gamers to contain, defects could impose significant costs on us or seriously harm our business. Our gear may suffer from design flaws, quality control problems in the manufacturing process or components that are defective or do not meet our quality standards. Moreover, the markets we serve are characterized by rapidly changing technology and intense competition and the pressure to continuously develop new gear and improvements and bring that gear and improvements to market quickly heightens the risks that our gear will be subject to both quality control and design problems. Because we largely rely on third parties to manufacture our gear and the components that are used in our gear, our ability to control the quality of the manufacturing process and the components that are used to manufacture our gear is limited. Product quality issues, whether as a result of design or manufacturing flaws or the use of components that are not of the requisite quality or do not meet our specifications, could result in product recalls, product redesign efforts, lost revenue, loss of reputation, and significant warranty and other expenses. In that regard, we have previously voluntarily recalled the SF-series PSUs. Recalls of gear and warranty-related issues can be costly, cause damage to our reputation and result in increased expenses, lost revenue and production delays. We may also be required to compensate customers for costs incurred or damages caused by defective gear. If we incur warranty or product redesign costs, institute recalls of gear or suffer damage to our reputation as a result of defective gear, our business could be seriously harmed.</w:t>
      </w:r>
    </w:p>
    <w:p>
      <w:pPr>
        <w:spacing w:after="0" w:line="276" w:lineRule="exact"/>
        <w:rPr>
          <w:sz w:val="20"/>
          <w:szCs w:val="20"/>
          <w:color w:val="auto"/>
        </w:rPr>
      </w:pPr>
    </w:p>
    <w:p>
      <w:pPr>
        <w:ind w:left="520" w:right="100"/>
        <w:spacing w:after="0" w:line="375" w:lineRule="auto"/>
        <w:rPr>
          <w:sz w:val="20"/>
          <w:szCs w:val="20"/>
          <w:color w:val="auto"/>
        </w:rPr>
      </w:pPr>
      <w:r>
        <w:rPr>
          <w:rFonts w:ascii="Arial" w:cs="Arial" w:eastAsia="Arial" w:hAnsi="Arial"/>
          <w:sz w:val="15"/>
          <w:szCs w:val="15"/>
          <w:b w:val="1"/>
          <w:bCs w:val="1"/>
          <w:i w:val="1"/>
          <w:iCs w:val="1"/>
          <w:color w:val="auto"/>
        </w:rPr>
        <w:t>While we operate a facility in Taiwan that assembles, tests and packages most of our DRAM modules and certain other products, we rely upon manufacturers in China to produce a significant portion of our other products, which exposes us to risks that may seriously harm our business.</w:t>
      </w:r>
    </w:p>
    <w:p>
      <w:pPr>
        <w:spacing w:after="0" w:line="1"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We operate a facility in Taiwan that assembles, tests, packages and ultimately supplies nearly all of our DRAM modules and a significant portion of our cooling solutions and prebuilt and custom gaming systems. We also assemble, test, package and ultimately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supply our custom-built PCs in our U.S. facility, and our customized gaming controllers in our U.S. and U.K. facilities. All of the other gear we sell, including the components used to assemble our DRAM modules, are produced at factories operated by third-parties located in China, Taiwan and countries in Southeast Asia. The fact that all of these facilities, manufacturers, suppliers and factories are concentrated in Taiwan and China exposes us to numerous risks.</w:t>
      </w:r>
    </w:p>
    <w:p>
      <w:pPr>
        <w:spacing w:after="0" w:line="187"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We believe one of the most significant risks associated with this concentration in Taiwan and China is that production may be interrupted or limited because of labor shortages in southern China and by strains on the local infrastructure. In addition, production at facilities located in China or Taiwan, including our own manufacturing, testing and packaging facility in Taiwan, and deliveries from those facilities, may be adversely affected by tensions, hostilities or trade disputes involving China, Taiwan, the United States or other countries. There is considerable potential political instability in Taiwan related to its disputes with China. Although we do not do business in North Korea, any future increase in tensions between South Korea and North Korea, such as an outbreak or escalation of military hostilities, or between Taiwan and China could materially adversely affect our operations in Asia or the global economy, which in turn may seriously harm our business.</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Other risks resulting from this concentration of our manufacturing facilities and our suppliers in Taiwan and China include the following:</w:t>
      </w:r>
    </w:p>
    <w:p>
      <w:pPr>
        <w:spacing w:after="0" w:line="129" w:lineRule="exact"/>
        <w:rPr>
          <w:sz w:val="20"/>
          <w:szCs w:val="20"/>
          <w:color w:val="auto"/>
        </w:rPr>
      </w:pPr>
    </w:p>
    <w:p>
      <w:pPr>
        <w:ind w:left="1000" w:right="6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interpretation and enforcement of China’s laws continues to evolve, which may make it more difficult for us to obtain a reliable supply of our gear at predictable costs;</w:t>
      </w:r>
    </w:p>
    <w:p>
      <w:pPr>
        <w:spacing w:after="0" w:line="62" w:lineRule="exact"/>
        <w:rPr>
          <w:rFonts w:ascii="Arial" w:cs="Arial" w:eastAsia="Arial" w:hAnsi="Arial"/>
          <w:sz w:val="18"/>
          <w:szCs w:val="18"/>
          <w:color w:val="auto"/>
        </w:rPr>
      </w:pPr>
    </w:p>
    <w:p>
      <w:pPr>
        <w:ind w:left="1000" w:right="32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these facilities are located in regions that may be affected by earthquakes, typhoons, other natural disasters, pandemic outbreaks, political instability, military actions, power outages or other conditions that may cause a disruption in supply;</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costs may be increased and deliveries of our gear may be decreased or delayed by trade restrictions; and</w:t>
      </w:r>
    </w:p>
    <w:p>
      <w:pPr>
        <w:spacing w:after="0" w:line="117" w:lineRule="exact"/>
        <w:rPr>
          <w:rFonts w:ascii="Arial" w:cs="Arial" w:eastAsia="Arial" w:hAnsi="Arial"/>
          <w:sz w:val="18"/>
          <w:szCs w:val="18"/>
          <w:color w:val="auto"/>
        </w:rPr>
      </w:pPr>
    </w:p>
    <w:p>
      <w:pPr>
        <w:jc w:val="both"/>
        <w:ind w:left="1000" w:right="140" w:hanging="493"/>
        <w:spacing w:after="0" w:line="263"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reliance on foreign manufacturers and suppliers exposes us to other risks of doing business internationally, some of which are described below under “We conduct our operations and sell our gear internationally and the effect of business, legal and political risks associated with international operations may seriously harm our business.”</w:t>
      </w:r>
    </w:p>
    <w:p>
      <w:pPr>
        <w:spacing w:after="0" w:line="184"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In addition, if significant tariffs or other restrictions are placed on Chinese imports or any related counter-measures are taken by China, our business may be seriously harmed if such tariffs or counter-measures affect the manufacturing costs of any of our gear. Further, such tariffs could adversely impact our gross profits if we cannot pass the increased costs incurred as a result of these tariffs through to our consumers, or if the resulting increased prices result in a decrease in consumer demand.</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occurrence of any one or more of these risks may seriously harm our business.</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we do not successfully coordinate the worldwide manufacturing and distribution of our gear, we could lose sales.</w:t>
      </w:r>
    </w:p>
    <w:p>
      <w:pPr>
        <w:spacing w:after="0" w:line="117" w:lineRule="exact"/>
        <w:rPr>
          <w:sz w:val="20"/>
          <w:szCs w:val="20"/>
          <w:color w:val="auto"/>
        </w:rPr>
      </w:pPr>
    </w:p>
    <w:p>
      <w:pPr>
        <w:ind w:right="320" w:firstLine="510"/>
        <w:spacing w:after="0" w:line="279" w:lineRule="auto"/>
        <w:rPr>
          <w:sz w:val="20"/>
          <w:szCs w:val="20"/>
          <w:color w:val="auto"/>
        </w:rPr>
      </w:pPr>
      <w:r>
        <w:rPr>
          <w:rFonts w:ascii="Arial" w:cs="Arial" w:eastAsia="Arial" w:hAnsi="Arial"/>
          <w:sz w:val="17"/>
          <w:szCs w:val="17"/>
          <w:color w:val="auto"/>
        </w:rPr>
        <w:t>Our business requires that we coordinate the manufacture and distribution of our gear over a significant portion of the world. We rely upon third parties to manufacture our gear and to transport and distribute our gear to our customers. If we do not successfully coordinate the timely and efficient manufacturing and distribution of our gear, our costs may increase, we may experience a build-up in inventory, we may not be able to deliver sufficient quantities to meet customer demand and we could lose sales, each of which could seriously harm our business.</w:t>
      </w:r>
    </w:p>
    <w:p>
      <w:pPr>
        <w:spacing w:after="0" w:line="279" w:lineRule="exact"/>
        <w:rPr>
          <w:sz w:val="20"/>
          <w:szCs w:val="20"/>
          <w:color w:val="auto"/>
        </w:rPr>
      </w:pPr>
    </w:p>
    <w:p>
      <w:pPr>
        <w:ind w:left="520" w:right="220"/>
        <w:spacing w:after="0" w:line="375" w:lineRule="auto"/>
        <w:rPr>
          <w:sz w:val="20"/>
          <w:szCs w:val="20"/>
          <w:color w:val="auto"/>
        </w:rPr>
      </w:pPr>
      <w:r>
        <w:rPr>
          <w:rFonts w:ascii="Arial" w:cs="Arial" w:eastAsia="Arial" w:hAnsi="Arial"/>
          <w:sz w:val="15"/>
          <w:szCs w:val="15"/>
          <w:b w:val="1"/>
          <w:bCs w:val="1"/>
          <w:i w:val="1"/>
          <w:iCs w:val="1"/>
          <w:color w:val="auto"/>
        </w:rPr>
        <w:t>Our operating results are particularly sensitive to freight costs, and our costs may increase significantly if we are unable to ship and transport finished products efficiently and economically across long distances and international borders, which may seriously harm our business.</w:t>
      </w:r>
    </w:p>
    <w:p>
      <w:pPr>
        <w:spacing w:after="0" w:line="1" w:lineRule="exact"/>
        <w:rPr>
          <w:sz w:val="20"/>
          <w:szCs w:val="20"/>
          <w:color w:val="auto"/>
        </w:rPr>
      </w:pPr>
    </w:p>
    <w:p>
      <w:pPr>
        <w:ind w:right="40" w:firstLine="510"/>
        <w:spacing w:after="0" w:line="288" w:lineRule="auto"/>
        <w:rPr>
          <w:sz w:val="20"/>
          <w:szCs w:val="20"/>
          <w:color w:val="auto"/>
        </w:rPr>
      </w:pPr>
      <w:r>
        <w:rPr>
          <w:rFonts w:ascii="Arial" w:cs="Arial" w:eastAsia="Arial" w:hAnsi="Arial"/>
          <w:sz w:val="16"/>
          <w:szCs w:val="16"/>
          <w:color w:val="auto"/>
        </w:rPr>
        <w:t>All of our gear is manufactured in Asia, and we transport significant volumes of finished products across long distances and international borders. As a result, our operating results can be significantly affected by changes in transportation costs. In that regard, although we ship our DRAM modules, which have selling prices that are relatively high compared to their size and weight, by air, we generally use ocean freight to ship our other products because of their relatively low selling prices compared to their size and weight. If we underestimate the demand for any of the products we ship by ocean freight, or if deliveries of those products to us by our manufacturers are delayed or interrupted, we may be required to ship those products by air in order to fill orders on a timely basis. Shipping larger or heavier items, such as cases or PSUs, by air is significantly more expensive than using ocean freight. As a result, any requirement that we ship these products by air, whether because we underestimate demand or because of an interruption in supply from the manufacturers who produce these products or for any other reason, could materially increase our costs. In addition, freight rates can vary significantly due to large number of factors beyond our control, including changes in fuel prices or general economic conditions or the threat of terrorist activities or acts of piracy. If demand for air or ocean freight should increase substantially, it could</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make it difficult for us to procure sufficient cargo transportation space at prices we consider acceptable, or at all. Increases in our freight expenses, or any inability to ship our gear as and when required, may seriously harm our business.</w:t>
      </w:r>
    </w:p>
    <w:p>
      <w:pPr>
        <w:spacing w:after="0" w:line="170" w:lineRule="exact"/>
        <w:rPr>
          <w:sz w:val="20"/>
          <w:szCs w:val="20"/>
          <w:color w:val="auto"/>
        </w:rPr>
      </w:pPr>
    </w:p>
    <w:p>
      <w:pPr>
        <w:ind w:right="180" w:firstLine="510"/>
        <w:spacing w:after="0" w:line="301" w:lineRule="auto"/>
        <w:rPr>
          <w:sz w:val="20"/>
          <w:szCs w:val="20"/>
          <w:color w:val="auto"/>
        </w:rPr>
      </w:pPr>
      <w:r>
        <w:rPr>
          <w:rFonts w:ascii="Arial" w:cs="Arial" w:eastAsia="Arial" w:hAnsi="Arial"/>
          <w:sz w:val="16"/>
          <w:szCs w:val="16"/>
          <w:color w:val="auto"/>
        </w:rPr>
        <w:t>Because our gear must cross international borders, we are subject to risk of delay if our documentation does not comply with customs rules and regulations or for similar reasons. In addition, any increases in customs duties or tariffs, as a result of changes to existing trade agreements between countries or otherwise, could increase our costs or the final cost of our gear to our retailer customers or gamers or decrease our margins. The laws governing customs and tariffs in many countries are complex, subject to many interpretations and often include substantial penalties for non-compliance.</w:t>
      </w:r>
    </w:p>
    <w:p>
      <w:pPr>
        <w:spacing w:after="0" w:line="2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effective tax rate may increase in the future, including as a result of the Reorganization and recent U.S. tax legislation.</w:t>
      </w:r>
    </w:p>
    <w:p>
      <w:pPr>
        <w:spacing w:after="0" w:line="117"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auto"/>
        </w:rPr>
        <w:t>Our effective tax rate may be impacted by changes in or interpretations of tax laws in any given jurisdiction, utilization of or limitations on our ability to utilize any tax credit carry-forwards, changes in geographical allocation of revenue and expense and changes in management’s assessment of matters such as our ability to realize the value of deferred tax assets. In the past, we have experienced fluctuations in our effective income tax rate which reflects a variety of factors that may or may not be present in any given year.</w:t>
      </w:r>
    </w:p>
    <w:p>
      <w:pPr>
        <w:spacing w:after="0" w:line="187"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auto"/>
        </w:rPr>
        <w:t>As a result of the Reorganization, we acquired a number of non-U.S. affiliated entities with substantial non-U.S. assets and operations. Following the Reorganization, we may be subject to current U.S. federal income taxes on the earnings of such non-U.S. affiliates in a manner that may adversely impact our effective tax rate.</w:t>
      </w:r>
    </w:p>
    <w:p>
      <w:pPr>
        <w:spacing w:after="0" w:line="184"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On December 22, 2017, the Tax Cuts and Jobs Act of 2017, or Tax Act, was enacted, which has significantly changed the U.S. federal income taxation of U.S. corporations, including by reducing the U.S. corporate income tax rate, limiting interest deductions, permitting immediate expensing of certain capital expenditures, adopting elements of a partially territorial tax system, revising the rules governing net operating losses and the rules governing foreign tax credits, and introducing new anti-base erosion provisions. The legislation is unclear in many respects and could be subject to potential amendments and technical corrections, as well as interpretations and implementing regulations by the Treasury and Internal Revenue Service, or the IRS, any of which could lessen or increase certain adverse impacts of the legislation. In addition, it is unclear how these U.S. federal income tax changes will affect state and local taxation, which often uses federal taxable income as a starting point for computing state and local tax liabilities.</w:t>
      </w:r>
    </w:p>
    <w:p>
      <w:pPr>
        <w:spacing w:after="0" w:line="166" w:lineRule="exact"/>
        <w:rPr>
          <w:sz w:val="20"/>
          <w:szCs w:val="20"/>
          <w:color w:val="auto"/>
        </w:rPr>
      </w:pPr>
    </w:p>
    <w:p>
      <w:pPr>
        <w:ind w:firstLine="510"/>
        <w:spacing w:after="0" w:line="286" w:lineRule="auto"/>
        <w:rPr>
          <w:sz w:val="20"/>
          <w:szCs w:val="20"/>
          <w:color w:val="auto"/>
        </w:rPr>
      </w:pPr>
      <w:r>
        <w:rPr>
          <w:rFonts w:ascii="Arial" w:cs="Arial" w:eastAsia="Arial" w:hAnsi="Arial"/>
          <w:sz w:val="17"/>
          <w:szCs w:val="17"/>
          <w:color w:val="auto"/>
        </w:rPr>
        <w:t>On March 27, 2020, the Coronavirus Aid, Relief and Economic Security, or CARES, Act was enacted, which provides temporary relief from certain aspects of the Tax Act that had imposed limitations on the utilization of certain losses, interest expense deductions, and minimum tax credits. We have recorded additional income tax benefits of $0.6 million in the first quarter of 2020 resulting from the enactment of the CARES Act.</w:t>
      </w:r>
    </w:p>
    <w:p>
      <w:pPr>
        <w:spacing w:after="0" w:line="165"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In light of these factors, we cannot assure you that our effective income tax rate will not change in future periods. Accordingly, if this were to occur, and if our effective tax rate were to increase, our business may be seriously harmed.</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ability to utilize our net operating loss, or NOL, carryforwards and certain other tax attributes may be limited.</w:t>
      </w:r>
    </w:p>
    <w:p>
      <w:pPr>
        <w:spacing w:after="0" w:line="117"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Our ability to utilize our NOL carryforwards to offset potential future taxable income and related income taxes that would otherwise be due is dependent upon our generation of future taxable income before the expiration dates of the NOL carryforwards, and we cannot predict with certainty when, or whether, we will generate sufficient taxable income to use all of our NOL carryforwards.</w:t>
      </w:r>
    </w:p>
    <w:p>
      <w:pPr>
        <w:spacing w:after="0" w:line="184"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Under Sections 382 and 383 of the Internal Revenue Code of 1986, as amended, or the Code, if a corporation undergoes an “ownership change,” generally defined as a greater than 50 percentage point change (by value) in its equity ownership by certain stockholders over a three-year period, the corporation’s ability to use its pre-change NOL carryforwards and other pre-change tax attributes (such as research and development tax credits) to offset its post-change income or taxes may be limited. We have experienced ownership changes in the past, and we may experience ownership changes in the future and/or subsequent shifts in our stock ownership (some of which may be outside our control). As a result, if we earn net taxable income, our ability to use our pre-change NOL carryforwards to offset U.S. federal taxable income may be subject to limitations under Section 382, which could potentially result in increased future tax liability to us. In addition, at the state level, there may be periods during which the use of NOL carryforwards is suspended or otherwise limited, which could accelerate or permanently increase state taxes owed.</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520" w:right="100"/>
        <w:spacing w:after="0" w:line="277" w:lineRule="auto"/>
        <w:rPr>
          <w:sz w:val="20"/>
          <w:szCs w:val="20"/>
          <w:color w:val="auto"/>
        </w:rPr>
      </w:pPr>
      <w:r>
        <w:rPr>
          <w:rFonts w:ascii="Arial" w:cs="Arial" w:eastAsia="Arial" w:hAnsi="Arial"/>
          <w:sz w:val="18"/>
          <w:szCs w:val="18"/>
          <w:b w:val="1"/>
          <w:bCs w:val="1"/>
          <w:i w:val="1"/>
          <w:iCs w:val="1"/>
          <w:color w:val="auto"/>
        </w:rPr>
        <w:t>Technological developments or other changes in our industry could render our gear less competitive or obsolete, which may seriously harm our business.</w:t>
      </w:r>
    </w:p>
    <w:p>
      <w:pPr>
        <w:spacing w:after="0" w:line="62"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Our industry is characterized by rapidly evolving technology and standards. These technological developments require us to integrate new technology and standards into our gear, create new and relevant categories of gear and adapt to changing business models in a timely manner. Our competitors may develop or acquire alternative and competing technologies and standards that could allow them to create new and disruptive products or produce similar competitive products at lower costs of production. Advances in the development of gaming, computing and audiovisual technology could render our gear less competitive or obsolete. For example, the emergence of augmented reality and virtual reality headsets could render certain of our gamer and creator peripherals such as keyboards and mice less relevant, similar to how cloud computing could drastically reduce the need for gaming components and systems. If we are unable to provide new gear for augmented or virtual reality devices, our business may be seriously harmed. In addition, government authorities and industry organizations may adopt new standards that apply to our gear. As a result, we may need to invest significant resources in research and development to maintain our market position, keep pace with technological changes and compete effectively. Our product development expenses were $37.5 million and $36.3 million for 2019 and for the nine months ended September 30, 2020, respectively, representing 3.4% and 3.2% of our net revenue for these periods, respectively. Our failure to improve our gear, create new and relevant categories of gear and adapt to changing business models in a timely manner may seriously harm our business.</w:t>
      </w:r>
    </w:p>
    <w:p>
      <w:pPr>
        <w:spacing w:after="0" w:line="287" w:lineRule="exact"/>
        <w:rPr>
          <w:sz w:val="20"/>
          <w:szCs w:val="20"/>
          <w:color w:val="auto"/>
        </w:rPr>
      </w:pPr>
    </w:p>
    <w:p>
      <w:pPr>
        <w:ind w:left="520"/>
        <w:spacing w:after="0" w:line="263" w:lineRule="auto"/>
        <w:rPr>
          <w:sz w:val="20"/>
          <w:szCs w:val="20"/>
          <w:color w:val="auto"/>
        </w:rPr>
      </w:pPr>
      <w:r>
        <w:rPr>
          <w:rFonts w:ascii="Arial" w:cs="Arial" w:eastAsia="Arial" w:hAnsi="Arial"/>
          <w:sz w:val="18"/>
          <w:szCs w:val="18"/>
          <w:b w:val="1"/>
          <w:bCs w:val="1"/>
          <w:i w:val="1"/>
          <w:iCs w:val="1"/>
          <w:color w:val="auto"/>
        </w:rPr>
        <w:t>We order most of our gear from third-party manufacturers based on our forecasts of future demand and targeted inventory levels, which exposes us to the risk of both product shortages, which may result in lost sales and higher expenses, and excess inventory, which may require us to sell our gear at substantial discounts and lead to write-offs.</w:t>
      </w:r>
    </w:p>
    <w:p>
      <w:pPr>
        <w:spacing w:after="0" w:line="76"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We depend upon our product forecasts to make decisions regarding investments of our resources and production levels of our gear. Because of the lead time necessary to manufacture our gear and the fact that we usually have little or no advance notice of customer orders, we must order our gear from third-party manufacturers and therefore commit to substantial purchases prior to obtaining orders for those products from our customers. This makes it difficult for us to adjust our inventory levels if orders fall below our expectations. Our failure to predict low demand for product can result in excess inventory, as well as lower cash flows and lower margins if we were unable to sell a product or if we were required to lower product prices in order to reduce inventories, and may also result in inventory write-downs. In addition, the cancellation or reduction of orders by our customers may also result in excess inventory. On the other hand, if actual orders exceed our expectations, we may need to incur additional costs, such as higher shipping costs for air freight or other expedited delivery or higher product costs for expedited manufacturing, in order to deliver sufficient quantities of products to meet customer orders on a timely basis or we may be unable to fill some orders altogether. In addition, many of the types of gear we sell have short product life cycles, so a failure to accurately predict and meet demand for products can result in lost sales that we may be unable to recover in subsequent periods. These short life cycles also make it more likely that slow moving or excess inventory may become obsolete, requiring us to sell our gear at significant discounts or write off entirely excess or obsolete inventory. Any failure to deliver gear in quantities sufficient to satisfy demand can also seriously harm our reputation with both our retailer customers and end-consumers.</w:t>
      </w:r>
    </w:p>
    <w:p>
      <w:pPr>
        <w:spacing w:after="0" w:line="186" w:lineRule="exact"/>
        <w:rPr>
          <w:sz w:val="20"/>
          <w:szCs w:val="20"/>
          <w:color w:val="auto"/>
        </w:rPr>
      </w:pPr>
    </w:p>
    <w:p>
      <w:pPr>
        <w:ind w:right="80" w:firstLine="510"/>
        <w:spacing w:after="0" w:line="301" w:lineRule="auto"/>
        <w:rPr>
          <w:sz w:val="20"/>
          <w:szCs w:val="20"/>
          <w:color w:val="auto"/>
        </w:rPr>
      </w:pPr>
      <w:r>
        <w:rPr>
          <w:rFonts w:ascii="Arial" w:cs="Arial" w:eastAsia="Arial" w:hAnsi="Arial"/>
          <w:sz w:val="16"/>
          <w:szCs w:val="16"/>
          <w:color w:val="auto"/>
        </w:rPr>
        <w:t>Over the past few years, we have expanded the number and types of gear we sell, and the geographic markets in which we sell them, and we will endeavor to further expand our product portfolio and sales reach. The growth of our product portfolio and the markets in which we sell our gear has increased the difficulty of accurately forecasting product demand. We have in the past experienced significant differences between our forecasts and actual demand for our gear and expect similar differences in the future. If we do not accurately predict product demand, our business may be seriously harmed.</w:t>
      </w:r>
    </w:p>
    <w:p>
      <w:pPr>
        <w:spacing w:after="0" w:line="265" w:lineRule="exact"/>
        <w:rPr>
          <w:sz w:val="20"/>
          <w:szCs w:val="20"/>
          <w:color w:val="auto"/>
        </w:rPr>
      </w:pPr>
    </w:p>
    <w:p>
      <w:pPr>
        <w:ind w:left="520" w:right="180"/>
        <w:spacing w:after="0" w:line="308" w:lineRule="auto"/>
        <w:rPr>
          <w:sz w:val="20"/>
          <w:szCs w:val="20"/>
          <w:color w:val="auto"/>
        </w:rPr>
      </w:pPr>
      <w:r>
        <w:rPr>
          <w:rFonts w:ascii="Arial" w:cs="Arial" w:eastAsia="Arial" w:hAnsi="Arial"/>
          <w:sz w:val="17"/>
          <w:szCs w:val="17"/>
          <w:b w:val="1"/>
          <w:bCs w:val="1"/>
          <w:i w:val="1"/>
          <w:iCs w:val="1"/>
          <w:color w:val="auto"/>
        </w:rPr>
        <w:t>Order cancellations, product returns, price erosion, product obsolescence and retailer and distributor customer and gamer incentive programs may result in substantial inventory and/or receivables write-downs and seriously harm our business.</w:t>
      </w:r>
    </w:p>
    <w:p>
      <w:pPr>
        <w:spacing w:after="0" w:line="38" w:lineRule="exact"/>
        <w:rPr>
          <w:sz w:val="20"/>
          <w:szCs w:val="20"/>
          <w:color w:val="auto"/>
        </w:rPr>
      </w:pPr>
    </w:p>
    <w:p>
      <w:pPr>
        <w:jc w:val="both"/>
        <w:ind w:right="60" w:firstLine="510"/>
        <w:spacing w:after="0" w:line="311" w:lineRule="auto"/>
        <w:rPr>
          <w:sz w:val="20"/>
          <w:szCs w:val="20"/>
          <w:color w:val="auto"/>
        </w:rPr>
      </w:pPr>
      <w:r>
        <w:rPr>
          <w:rFonts w:ascii="Arial" w:cs="Arial" w:eastAsia="Arial" w:hAnsi="Arial"/>
          <w:sz w:val="16"/>
          <w:szCs w:val="16"/>
          <w:color w:val="auto"/>
        </w:rPr>
        <w:t>The gear we sell is characterized by rapid technological change and short product life cycles. As a result, the gear that we hold in inventory may be subject to significant price erosion or may become obsolete, requiring inventory write-downs. We may experience excess or unsold inventory for a number of reasons, including demand for our gear being lower than our forecasts, order cancellations by our customers and product returns.</w:t>
      </w:r>
    </w:p>
    <w:p>
      <w:pPr>
        <w:spacing w:after="0" w:line="149"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In that regard, rights to return products vary by customer and range from the right to return defective products to limited stock rotation rights allowing the exchange of a limited percentage of the customer’s inventory for new product purchases. If the estimated market values of products held in our finished goods and work in process inventories at the end of any fiscal quarter are below our cost of these products, we will recognize charges to write down the carrying value of our inventories to market value.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220" w:firstLine="510"/>
        <w:spacing w:after="0" w:line="291" w:lineRule="auto"/>
        <w:rPr>
          <w:sz w:val="20"/>
          <w:szCs w:val="20"/>
          <w:color w:val="auto"/>
        </w:rPr>
      </w:pPr>
      <w:r>
        <w:rPr>
          <w:rFonts w:ascii="Arial" w:cs="Arial" w:eastAsia="Arial" w:hAnsi="Arial"/>
          <w:sz w:val="16"/>
          <w:szCs w:val="16"/>
          <w:color w:val="auto"/>
        </w:rPr>
        <w:t>In addition, we provide a variety of rebates to both customers and gamers, including instant rebates, volume incentive rebates, back end rebates and mail-in rebates. We also have contractual agreements and cooperative marketing, promotional and other arrangements that provide rebates and other financial incentives to our retailer customers and gamers. To a limited extent, we also offer financial incentives related to retailer customer inventory of specific products. The aggregate amount of charges incurred as a result of all of these rebates and other financial incentives is offset from our gross revenue. For 2019 and for nine months ended September 30, 2020, our gross revenue was reduced approximately by between 6% and 9% as a result of these rebates and other financial incentives. In the future, we also may be required to write down inventory or receivables due to product obsolescence or because of declines in market prices of our gear. Any write-downs or offsets could seriously harm our business.</w:t>
      </w:r>
    </w:p>
    <w:p>
      <w:pPr>
        <w:spacing w:after="0" w:line="274" w:lineRule="exact"/>
        <w:rPr>
          <w:sz w:val="20"/>
          <w:szCs w:val="20"/>
          <w:color w:val="auto"/>
        </w:rPr>
      </w:pPr>
    </w:p>
    <w:p>
      <w:pPr>
        <w:ind w:left="520" w:right="60"/>
        <w:spacing w:after="0" w:line="277" w:lineRule="auto"/>
        <w:rPr>
          <w:sz w:val="20"/>
          <w:szCs w:val="20"/>
          <w:color w:val="auto"/>
        </w:rPr>
      </w:pPr>
      <w:r>
        <w:rPr>
          <w:rFonts w:ascii="Arial" w:cs="Arial" w:eastAsia="Arial" w:hAnsi="Arial"/>
          <w:sz w:val="18"/>
          <w:szCs w:val="18"/>
          <w:b w:val="1"/>
          <w:bCs w:val="1"/>
          <w:i w:val="1"/>
          <w:iCs w:val="1"/>
          <w:color w:val="auto"/>
        </w:rPr>
        <w:t>Our indemnification obligations to our customers and suppliers for intellectual property infringement claims could require us to pay substantial amounts and may seriously harm our business.</w:t>
      </w:r>
    </w:p>
    <w:p>
      <w:pPr>
        <w:spacing w:after="0" w:line="62"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We indemnify a limited number of retailer customers for damages and costs which may arise if our gear infringe third-party patents or other proprietary rights. We may periodically have to respond to claims and litigate these types of indemnification obligations. Any such indemnification claims could require us to make substantial settlement, damages or royalty payments or result in our incurring substantial legal costs. Our insurance does not cover intellectual property infringement. The potential amount of future payments to defend lawsuits or settle or otherwise satisfy indemnified claims under any of these indemnification provisions may be unlimited. We also have replacement obligations for product warranty claims relating to our gear. Our insurance does not cover such claims. Claims for intellectual property infringement and product warranty claims may seriously harm our business.</w:t>
      </w:r>
    </w:p>
    <w:p>
      <w:pPr>
        <w:spacing w:after="0" w:line="164"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From time to time, we pay licensing fees in settlement of certain intellectual property infringement claims made by third parties. We cannot assure you that licensing fees paid under these circumstances will not seriously harm our business.</w:t>
      </w:r>
    </w:p>
    <w:p>
      <w:pPr>
        <w:spacing w:after="0" w:line="278" w:lineRule="exact"/>
        <w:rPr>
          <w:sz w:val="20"/>
          <w:szCs w:val="20"/>
          <w:color w:val="auto"/>
        </w:rPr>
      </w:pPr>
    </w:p>
    <w:p>
      <w:pPr>
        <w:ind w:left="520" w:right="320"/>
        <w:spacing w:after="0" w:line="277" w:lineRule="auto"/>
        <w:rPr>
          <w:sz w:val="20"/>
          <w:szCs w:val="20"/>
          <w:color w:val="auto"/>
        </w:rPr>
      </w:pPr>
      <w:r>
        <w:rPr>
          <w:rFonts w:ascii="Arial" w:cs="Arial" w:eastAsia="Arial" w:hAnsi="Arial"/>
          <w:sz w:val="18"/>
          <w:szCs w:val="18"/>
          <w:b w:val="1"/>
          <w:bCs w:val="1"/>
          <w:i w:val="1"/>
          <w:iCs w:val="1"/>
          <w:color w:val="auto"/>
        </w:rPr>
        <w:t>If we are unable to integrate our gear and proprietary software with third-party hardware, operating system software and other products, the functionality of our gear would be adversely affected, which may seriously harm our business.</w:t>
      </w:r>
    </w:p>
    <w:p>
      <w:pPr>
        <w:spacing w:after="0" w:line="62"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The functionality of some of our gear depends on our ability to integrate that gear with the hardware, operating system software and related products of providers such as Intel, AMD, NVIDIA, Microsoft, Sony and Asus, among others. We rely to a certain extent on the relationships we have with those companies in developing our gear and resolving issues. We cannot assure you that those relationships will be maintained or that those or other companies will continue to provide the necessary information and support to allow us to develop gear that integrate with their products or that third party developers will continue to develop plugins for and integrations with our proprietary software, including Stream Deck. If integration with the products of those or other companies becomes more difficult, our gear would likely be more difficult to use or may not be compatible with key hardware, operating systems or other products, which would seriously harm our reputation and the utility and desirability of our gear, and, as a result, would seriously harm our business.</w:t>
      </w:r>
    </w:p>
    <w:p>
      <w:pPr>
        <w:spacing w:after="0" w:line="274" w:lineRule="exact"/>
        <w:rPr>
          <w:sz w:val="20"/>
          <w:szCs w:val="20"/>
          <w:color w:val="auto"/>
        </w:rPr>
      </w:pPr>
    </w:p>
    <w:p>
      <w:pPr>
        <w:ind w:left="520" w:right="680"/>
        <w:spacing w:after="0" w:line="277" w:lineRule="auto"/>
        <w:rPr>
          <w:sz w:val="20"/>
          <w:szCs w:val="20"/>
          <w:color w:val="auto"/>
        </w:rPr>
      </w:pPr>
      <w:r>
        <w:rPr>
          <w:rFonts w:ascii="Arial" w:cs="Arial" w:eastAsia="Arial" w:hAnsi="Arial"/>
          <w:sz w:val="18"/>
          <w:szCs w:val="18"/>
          <w:b w:val="1"/>
          <w:bCs w:val="1"/>
          <w:i w:val="1"/>
          <w:iCs w:val="1"/>
          <w:color w:val="auto"/>
        </w:rPr>
        <w:t>One of our strategies is to grow through acquisitions, which could result in operating difficulties, dilution to our stockholders and other seriously harmful consequences.</w:t>
      </w:r>
    </w:p>
    <w:p>
      <w:pPr>
        <w:spacing w:after="0" w:line="62"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One of our strategies is to grow through acquisitions and we may also seek to grow through other strategic transactions such as alliances and joint ventures. In particular, we believe that our future growth depends in part on our ability to enhance our existing product lines and introduce new gear and categories of gear through acquisitions and other strategic transactions. There is substantial competition for attractive acquisitions and other strategic transactions, and we may not be successful in completing any such acquisitions or other strategic transactions in the future. Acquisitions may be particularly challenging during the COVID-19 pandemic. For example, we will likely not be able to travel to conduct in-person meetings and due diligence sessions with potential target companies. If we are successful in making any acquisition or strategic transaction, we may be unable to integrate the acquired business effectively or may incur unanticipated expenditures, which could seriously harm our business. The COVID-19 pandemic may make integration of these businesses even more difficult. Acquisitions and strategic transactions can involve a wide variety of risks depending upon, among other things, the specific business or assets being acquired or the specific terms of any transaction.</w:t>
      </w:r>
    </w:p>
    <w:p>
      <w:pPr>
        <w:spacing w:after="0" w:line="181"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In addition, we may finance acquisitions or investments, strategic partnerships or joint ventures by issuing common stock, which may be dilutive to our stockholders, or by incurring indebtedness, which could increase our interest expense and leverage, perhaps substantially. Acquisitions and other investments may also result in charges for the impairment of goodwill or other acquired assets. Acquisitions of, or alliances with, technology companies are inherently risky, and any acquisitions or investments we make, or alliances we enter into, may not perform in accordance with our expectations. Accordingly, any of these transactions, if completed, may not be successful and may seriously harm our business.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In addition, foreign acquisitions or strategic transactions with foreign partners involve additional risks, including those related to integration of operations across different geographies, cultures and languages, as well as risks related to fluctuation in currency exchange rates and risks associated with the particular economic, political and regulatory environment in specific countries.</w:t>
      </w:r>
    </w:p>
    <w:p>
      <w:pPr>
        <w:spacing w:after="0" w:line="292" w:lineRule="exact"/>
        <w:rPr>
          <w:sz w:val="20"/>
          <w:szCs w:val="20"/>
          <w:color w:val="auto"/>
        </w:rPr>
      </w:pPr>
    </w:p>
    <w:p>
      <w:pPr>
        <w:ind w:left="520" w:right="80"/>
        <w:spacing w:after="0" w:line="259" w:lineRule="auto"/>
        <w:rPr>
          <w:sz w:val="20"/>
          <w:szCs w:val="20"/>
          <w:color w:val="auto"/>
        </w:rPr>
      </w:pPr>
      <w:r>
        <w:rPr>
          <w:rFonts w:ascii="Arial" w:cs="Arial" w:eastAsia="Arial" w:hAnsi="Arial"/>
          <w:sz w:val="18"/>
          <w:szCs w:val="18"/>
          <w:b w:val="1"/>
          <w:bCs w:val="1"/>
          <w:i w:val="1"/>
          <w:iCs w:val="1"/>
          <w:color w:val="auto"/>
        </w:rPr>
        <w:t>We need substantial working capital to operate our business, and we rely to a significant degree upon credit extended by our manufacturers and suppliers and borrowings under our revolving credit facility to meet our working capital needs. If we are unable to meet our working capital needs, we may be required to reduce expenses or product purchases, or delay the development, commercialization and marketing of our gear, which would seriously harm our business.</w:t>
      </w:r>
    </w:p>
    <w:p>
      <w:pPr>
        <w:spacing w:after="0" w:line="79"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We need substantial working capital to operate our business. We rely to a significant degree upon credit extended by many of our manufacturers and suppliers in order to meet our working capital needs. Credit terms vary from vendor to vendor but typically allow us zero to 120 days to pay for the products. However, notwithstanding the foregoing, there are instances when we are required to pay for gear in advance of it being manufactured and delivered to us. We also utilize borrowings under our revolving credit facility to provide working capital, and access to external debt financing has historically been and will likely continue to be very important to us. As a result of any downturn in general economic conditions or conditions in the credit markets or other factors, manufacturers and suppliers may be reluctant to provide us with the same credit that they have in the past, which would require that we increase the level of borrowing under our revolving credit facility or obtain other external financing to provide for our substantial working capital needs. Additional financing may not be available on terms acceptable to us or at all. In particular, our access to debt financing may be limited by a covenant in our credit facilities, which requires our Consolidated Total Net Leverage Ratio (as defined in our credit facilities) to be no greater than 8.0 to 1.0 if the revolving credit part of our credit facilities is more than 35% drawn. As a result, the restriction imposed by our debt covenants could limit, perhaps substantially, the amount we are permitted to borrow under our credit facilities or under other debt arrangements.</w:t>
      </w:r>
    </w:p>
    <w:p>
      <w:pPr>
        <w:spacing w:after="0" w:line="172" w:lineRule="exact"/>
        <w:rPr>
          <w:sz w:val="20"/>
          <w:szCs w:val="20"/>
          <w:color w:val="auto"/>
        </w:rPr>
      </w:pPr>
    </w:p>
    <w:p>
      <w:pPr>
        <w:ind w:right="120" w:firstLine="510"/>
        <w:spacing w:after="0" w:line="296" w:lineRule="auto"/>
        <w:rPr>
          <w:sz w:val="20"/>
          <w:szCs w:val="20"/>
          <w:color w:val="auto"/>
        </w:rPr>
      </w:pPr>
      <w:r>
        <w:rPr>
          <w:rFonts w:ascii="Arial" w:cs="Arial" w:eastAsia="Arial" w:hAnsi="Arial"/>
          <w:sz w:val="16"/>
          <w:szCs w:val="16"/>
          <w:color w:val="auto"/>
        </w:rPr>
        <w:t>To the extent we are required to use additional borrowings under our revolving credit facility or from other sources (if available and if permitted by the credit facility) to provide working capital, it could increase our interest expense and expose us to other risks of leverage. Any inability to meet our working capital or other cash needs as and when required would likely seriously harm our business, results of operations and financial condition and adversely affect our growth prospects and stock price and could require, among other things, that we reduce expenses, which might require us to reduce shipments of our gear or our inventory levels substantially or to delay or curtail the development, commercialization and marketing of our gear.</w:t>
      </w:r>
    </w:p>
    <w:p>
      <w:pPr>
        <w:spacing w:after="0" w:line="269" w:lineRule="exact"/>
        <w:rPr>
          <w:sz w:val="20"/>
          <w:szCs w:val="20"/>
          <w:color w:val="auto"/>
        </w:rPr>
      </w:pPr>
    </w:p>
    <w:p>
      <w:pPr>
        <w:ind w:left="520" w:right="360"/>
        <w:spacing w:after="0" w:line="277" w:lineRule="auto"/>
        <w:rPr>
          <w:sz w:val="20"/>
          <w:szCs w:val="20"/>
          <w:color w:val="auto"/>
        </w:rPr>
      </w:pPr>
      <w:r>
        <w:rPr>
          <w:rFonts w:ascii="Arial" w:cs="Arial" w:eastAsia="Arial" w:hAnsi="Arial"/>
          <w:sz w:val="18"/>
          <w:szCs w:val="18"/>
          <w:b w:val="1"/>
          <w:bCs w:val="1"/>
          <w:i w:val="1"/>
          <w:iCs w:val="1"/>
          <w:color w:val="auto"/>
        </w:rPr>
        <w:t>Indebtedness and the terms of our credit facilities may impair our ability to respond to changing business and economic conditions and may seriously harm our business.</w:t>
      </w:r>
    </w:p>
    <w:p>
      <w:pPr>
        <w:spacing w:after="0" w:line="62"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We had $376.9 million of indebtedness as of September 30, 2020. We have incurred significant indebtedness under our credit facilities to fund working capital and other cash needs and we expect to incur additional indebtedness in the future, particularly if we use borrowings or other debt financing to finance all or a portion of any future acquisitions. In addition, the terms of our credit facilities require, and any debt instruments we enter into in the future may require, that we comply with certain restrictions and covenants. These covenants and restrictions, as well as any significant increase in our indebtedness, could adversely impact us for a number of reasons, including the following:</w:t>
      </w:r>
    </w:p>
    <w:p>
      <w:pPr>
        <w:spacing w:after="0" w:line="176" w:lineRule="exact"/>
        <w:rPr>
          <w:sz w:val="20"/>
          <w:szCs w:val="20"/>
          <w:color w:val="auto"/>
        </w:rPr>
      </w:pPr>
    </w:p>
    <w:p>
      <w:pPr>
        <w:jc w:val="both"/>
        <w:ind w:right="180" w:firstLine="510"/>
        <w:spacing w:after="0" w:line="279" w:lineRule="auto"/>
        <w:rPr>
          <w:sz w:val="20"/>
          <w:szCs w:val="20"/>
          <w:color w:val="auto"/>
        </w:rPr>
      </w:pPr>
      <w:r>
        <w:rPr>
          <w:rFonts w:ascii="Arial" w:cs="Arial" w:eastAsia="Arial" w:hAnsi="Arial"/>
          <w:sz w:val="17"/>
          <w:szCs w:val="17"/>
          <w:i w:val="1"/>
          <w:iCs w:val="1"/>
          <w:color w:val="auto"/>
        </w:rPr>
        <w:t xml:space="preserve">Cash flow required to pay debt service. </w:t>
      </w:r>
      <w:r>
        <w:rPr>
          <w:rFonts w:ascii="Arial" w:cs="Arial" w:eastAsia="Arial" w:hAnsi="Arial"/>
          <w:sz w:val="17"/>
          <w:szCs w:val="17"/>
          <w:color w:val="auto"/>
        </w:rPr>
        <w:t>We may be required to dedicate a substantial portion of our available cash flow to debt service. This risk is</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increased by the fact that borrowings under our credit facilities bear interest at a variable rate. This exposes us to the risk that the amount of cash required to pay interest under our credit facilities will increase to the extent that market interest increases. Our indebtedness and debt service obligations may also increase our vulnerability to economic downturns and adverse competitive and industry conditions.</w:t>
      </w:r>
    </w:p>
    <w:p>
      <w:pPr>
        <w:spacing w:after="0" w:line="171" w:lineRule="exact"/>
        <w:rPr>
          <w:sz w:val="20"/>
          <w:szCs w:val="20"/>
          <w:color w:val="auto"/>
        </w:rPr>
      </w:pPr>
    </w:p>
    <w:p>
      <w:pPr>
        <w:ind w:right="180" w:firstLine="510"/>
        <w:spacing w:after="0" w:line="275" w:lineRule="auto"/>
        <w:rPr>
          <w:sz w:val="20"/>
          <w:szCs w:val="20"/>
          <w:color w:val="auto"/>
        </w:rPr>
      </w:pPr>
      <w:r>
        <w:rPr>
          <w:rFonts w:ascii="Arial" w:cs="Arial" w:eastAsia="Arial" w:hAnsi="Arial"/>
          <w:sz w:val="17"/>
          <w:szCs w:val="17"/>
          <w:i w:val="1"/>
          <w:iCs w:val="1"/>
          <w:color w:val="auto"/>
        </w:rPr>
        <w:t>Adverse effect of financial and other covenants</w:t>
      </w:r>
      <w:r>
        <w:rPr>
          <w:rFonts w:ascii="Arial" w:cs="Arial" w:eastAsia="Arial" w:hAnsi="Arial"/>
          <w:sz w:val="17"/>
          <w:szCs w:val="17"/>
          <w:color w:val="auto"/>
        </w:rPr>
        <w:t>. The covenants and other restrictions in our credit facilities and any debt instruments we may enter</w:t>
      </w:r>
      <w:r>
        <w:rPr>
          <w:rFonts w:ascii="Arial" w:cs="Arial" w:eastAsia="Arial" w:hAnsi="Arial"/>
          <w:sz w:val="17"/>
          <w:szCs w:val="17"/>
          <w:i w:val="1"/>
          <w:iCs w:val="1"/>
          <w:color w:val="auto"/>
        </w:rPr>
        <w:t xml:space="preserve"> </w:t>
      </w:r>
      <w:r>
        <w:rPr>
          <w:rFonts w:ascii="Arial" w:cs="Arial" w:eastAsia="Arial" w:hAnsi="Arial"/>
          <w:sz w:val="17"/>
          <w:szCs w:val="17"/>
          <w:color w:val="auto"/>
        </w:rPr>
        <w:t>into in the future may limit our ability to raise funds for working capital, capital expenditures, acquisitions, product development and other general corporate requirements, which may adversely affect our ability to finance our operations, any acquisitions or investments or other capital needs or engage in other business activities that would be in our interests. Restrictive covenants may also limit our ability to plan for or react to market conditions or otherwise limit our activities or business plans and place us at a disadvantage compared to our competitors.</w:t>
      </w:r>
    </w:p>
    <w:p>
      <w:pPr>
        <w:spacing w:after="0" w:line="176"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i w:val="1"/>
          <w:iCs w:val="1"/>
          <w:color w:val="auto"/>
        </w:rPr>
        <w:t>Risks of default</w:t>
      </w:r>
      <w:r>
        <w:rPr>
          <w:rFonts w:ascii="Arial" w:cs="Arial" w:eastAsia="Arial" w:hAnsi="Arial"/>
          <w:sz w:val="18"/>
          <w:szCs w:val="18"/>
          <w:color w:val="auto"/>
        </w:rPr>
        <w:t>. If we breach or are unable to comply with a covenant or other agreement contained in a debt instrument, the lender generally has</w:t>
      </w:r>
      <w:r>
        <w:rPr>
          <w:rFonts w:ascii="Arial" w:cs="Arial" w:eastAsia="Arial" w:hAnsi="Arial"/>
          <w:sz w:val="18"/>
          <w:szCs w:val="18"/>
          <w:i w:val="1"/>
          <w:iCs w:val="1"/>
          <w:color w:val="auto"/>
        </w:rPr>
        <w:t xml:space="preserve"> </w:t>
      </w:r>
      <w:r>
        <w:rPr>
          <w:rFonts w:ascii="Arial" w:cs="Arial" w:eastAsia="Arial" w:hAnsi="Arial"/>
          <w:sz w:val="18"/>
          <w:szCs w:val="18"/>
          <w:color w:val="auto"/>
        </w:rPr>
        <w:t>the right to declare all borrowings outstanding under that debt instrument, together with accrued interest, to be immediately due and payable and may have the right to raise the interest rate. Upon an event of default under our credit facilities, the lender may require the immediate repayment of all outstanding loans and accrued interest. In addition, during the continuance of certain events of default under our credit facilities (subject to a cure period for some events of default), interest may accrue at a rate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that is 200 basis points above the otherwise applicable rate. As a result, any breach or failure to comply with covenants contained in our debt instruments could seriously harm our business. Moreover, our credit facilities are secured by substantially all of our assets (including capital stock of our subsidiaries), except assets of our foreign subsidiaries and some of the shares of our foreign subsidiaries, and if we are unable to pay indebtedness secured by collateral when due, whether at maturity or if declared due and payable by the lender following a default, the lender generally has the right to seize and sell the collateral securing that indebtedness. We cannot assure you that we will not breach the covenants or other terms of our credit facilities or any other debt instruments in the future and, if a breach occurs, we cannot assure you that we will be able to obtain necessary waivers or amendments from the lender or to refinance the related indebtedness on terms we find acceptable, or at all. As a result, any breach or default of this nature may seriously harm our business.</w:t>
      </w:r>
    </w:p>
    <w:p>
      <w:pPr>
        <w:spacing w:after="0" w:line="166" w:lineRule="exact"/>
        <w:rPr>
          <w:sz w:val="20"/>
          <w:szCs w:val="20"/>
          <w:color w:val="auto"/>
        </w:rPr>
      </w:pPr>
    </w:p>
    <w:p>
      <w:pPr>
        <w:ind w:right="200" w:firstLine="510"/>
        <w:spacing w:after="0" w:line="257" w:lineRule="auto"/>
        <w:rPr>
          <w:sz w:val="20"/>
          <w:szCs w:val="20"/>
          <w:color w:val="auto"/>
        </w:rPr>
      </w:pPr>
      <w:r>
        <w:rPr>
          <w:rFonts w:ascii="Arial" w:cs="Arial" w:eastAsia="Arial" w:hAnsi="Arial"/>
          <w:sz w:val="18"/>
          <w:szCs w:val="18"/>
          <w:i w:val="1"/>
          <w:iCs w:val="1"/>
          <w:color w:val="auto"/>
        </w:rPr>
        <w:t>Restrictions under our credit facilities</w:t>
      </w:r>
      <w:r>
        <w:rPr>
          <w:rFonts w:ascii="Arial" w:cs="Arial" w:eastAsia="Arial" w:hAnsi="Arial"/>
          <w:sz w:val="18"/>
          <w:szCs w:val="18"/>
          <w:color w:val="auto"/>
        </w:rPr>
        <w:t>. We must comply with covenants under our current credit facilities, one of which requires our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Total Net Leverage Ratio (as defined in our credit facilities) to be no greater than 8.0 to 1.0 if the revolving credit part of our credit facilities is more than 35% drawn. Our Consolidated Total Net Leverage Ratio as of September 30, 2020 was 1.3 to 1.0. While we were in compliance with this covenant as of September 30, 2020, we cannot assure you that we will not breach these covenants in our credit facilities in the future or other covenants in our future credit facilities.</w:t>
      </w:r>
    </w:p>
    <w:p>
      <w:pPr>
        <w:spacing w:after="0" w:line="188" w:lineRule="exact"/>
        <w:rPr>
          <w:sz w:val="20"/>
          <w:szCs w:val="20"/>
          <w:color w:val="auto"/>
        </w:rPr>
      </w:pPr>
    </w:p>
    <w:p>
      <w:pPr>
        <w:ind w:right="260" w:firstLine="510"/>
        <w:spacing w:after="0" w:line="257" w:lineRule="auto"/>
        <w:rPr>
          <w:sz w:val="20"/>
          <w:szCs w:val="20"/>
          <w:color w:val="auto"/>
        </w:rPr>
      </w:pPr>
      <w:r>
        <w:rPr>
          <w:rFonts w:ascii="Arial" w:cs="Arial" w:eastAsia="Arial" w:hAnsi="Arial"/>
          <w:sz w:val="18"/>
          <w:szCs w:val="18"/>
          <w:color w:val="auto"/>
        </w:rPr>
        <w:t>Our credit facilities also include covenants that limit or restrict our ability to, among other things, incur liens on our properties, make acquisitions and other investments and sell assets, subject to specified exceptions. In addition to the covenants described in the preceding sentence, we are also prohibited from incurring indebtedness other than debt owed to the lender under our credit facilities, debt associated with certain liens permitted by our credit facilities or subordinated debt. Our credit facilities also contain restrictions on our ability to pay dividends or make distributions in respect of our common stock or redemptions or repurchases of our common stock.</w:t>
      </w:r>
    </w:p>
    <w:p>
      <w:pPr>
        <w:spacing w:after="0" w:line="296" w:lineRule="exact"/>
        <w:rPr>
          <w:sz w:val="20"/>
          <w:szCs w:val="20"/>
          <w:color w:val="auto"/>
        </w:rPr>
      </w:pPr>
    </w:p>
    <w:p>
      <w:pPr>
        <w:ind w:left="520" w:right="280"/>
        <w:spacing w:after="0" w:line="277" w:lineRule="auto"/>
        <w:rPr>
          <w:sz w:val="20"/>
          <w:szCs w:val="20"/>
          <w:color w:val="auto"/>
        </w:rPr>
      </w:pPr>
      <w:r>
        <w:rPr>
          <w:rFonts w:ascii="Arial" w:cs="Arial" w:eastAsia="Arial" w:hAnsi="Arial"/>
          <w:sz w:val="18"/>
          <w:szCs w:val="18"/>
          <w:b w:val="1"/>
          <w:bCs w:val="1"/>
          <w:i w:val="1"/>
          <w:iCs w:val="1"/>
          <w:color w:val="auto"/>
        </w:rPr>
        <w:t>The phase-out of the London Interbank Offered Rate, or LIBOR, or the replacement of LIBOR with a different reference rate, may adversely affect interest rates.</w:t>
      </w:r>
    </w:p>
    <w:p>
      <w:pPr>
        <w:spacing w:after="0" w:line="62"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Borrowings under our credit facilities bear interest at rates determined using LIBOR as the reference rate. On July 27, 2017, the Financial Conduct Authority (the authority that regulates LIBOR) announced that it would phase-out LIBOR by the end of 2021. It is unclear whether new methods of calculating LIBOR will be established such that it continues to exist after 2021, or if alternative rates or benchmarks will be adopted, and currently it appears highly likely that LIBOR will be discontinued or substantially modified by 2021. Changes in the method of calculating LIBOR, or the replacement of LIBOR with an alternative rate or benchmark, may adversely affect interest rates and result in higher borrowing costs. This could materially and adversely affect our results of operations, cash flows, and liquidity. We cannot predict the effect of the potential changes to LIBOR or the establishment and use of alternative rates or benchmarks. Furthermore, we may need to renegotiate our revolving credit facility or incur other indebtedness, and changes in the method of calculating LIBOR, or the use of an alternative rate or benchmark, may negatively impact the terms of such indebtedness.</w:t>
      </w:r>
    </w:p>
    <w:p>
      <w:pPr>
        <w:spacing w:after="0" w:line="273" w:lineRule="exact"/>
        <w:rPr>
          <w:sz w:val="20"/>
          <w:szCs w:val="20"/>
          <w:color w:val="auto"/>
        </w:rPr>
      </w:pPr>
    </w:p>
    <w:p>
      <w:pPr>
        <w:ind w:left="520" w:right="360"/>
        <w:spacing w:after="0" w:line="277" w:lineRule="auto"/>
        <w:rPr>
          <w:sz w:val="20"/>
          <w:szCs w:val="20"/>
          <w:color w:val="auto"/>
        </w:rPr>
      </w:pPr>
      <w:r>
        <w:rPr>
          <w:rFonts w:ascii="Arial" w:cs="Arial" w:eastAsia="Arial" w:hAnsi="Arial"/>
          <w:sz w:val="18"/>
          <w:szCs w:val="18"/>
          <w:b w:val="1"/>
          <w:bCs w:val="1"/>
          <w:i w:val="1"/>
          <w:iCs w:val="1"/>
          <w:color w:val="auto"/>
        </w:rPr>
        <w:t>We conduct our operations and sell our gear internationally and the effect of business, legal and political risks associated with international operations may seriously harm our business.</w:t>
      </w:r>
    </w:p>
    <w:p>
      <w:pPr>
        <w:spacing w:after="0" w:line="62" w:lineRule="exact"/>
        <w:rPr>
          <w:sz w:val="20"/>
          <w:szCs w:val="20"/>
          <w:color w:val="auto"/>
        </w:rPr>
      </w:pPr>
    </w:p>
    <w:p>
      <w:pPr>
        <w:jc w:val="both"/>
        <w:ind w:right="120" w:firstLine="510"/>
        <w:spacing w:after="0" w:line="286" w:lineRule="auto"/>
        <w:rPr>
          <w:sz w:val="20"/>
          <w:szCs w:val="20"/>
          <w:color w:val="auto"/>
        </w:rPr>
      </w:pPr>
      <w:r>
        <w:rPr>
          <w:rFonts w:ascii="Arial" w:cs="Arial" w:eastAsia="Arial" w:hAnsi="Arial"/>
          <w:sz w:val="17"/>
          <w:szCs w:val="17"/>
          <w:color w:val="auto"/>
        </w:rPr>
        <w:t>Sales to customers outside the United States accounted for 64.7% and 62.4% of our net revenue for 2019 and for the nine months ended September 30, 2020, respectively. In addition, substantially all of the gear that we sell is manufactured at facilities in Asia. Our international sales and operations are subject to a wide range of risks, which may vary from country to country or region to region. These risks include the following:</w:t>
      </w:r>
    </w:p>
    <w:p>
      <w:pPr>
        <w:spacing w:after="0" w:line="57" w:lineRule="exact"/>
        <w:rPr>
          <w:sz w:val="20"/>
          <w:szCs w:val="20"/>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export and import duties, changes to import and export regulations, and restrictions on the transfer of funds;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problems with the transportation or delivery of our gear;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issues arising from cultural or language differences and labor unrest;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longer payment cycles and greater difficulty in collecting accounts receivable;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compliance with trade and technical standards in a variety of jurisdictions;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difficulties in staffing and managing international operations, including the risks associated with fraud, theft and other illegal conduct;</w:t>
      </w:r>
    </w:p>
    <w:p>
      <w:pPr>
        <w:spacing w:after="0" w:line="128" w:lineRule="exact"/>
        <w:rPr>
          <w:rFonts w:ascii="Arial" w:cs="Arial" w:eastAsia="Arial" w:hAnsi="Arial"/>
          <w:sz w:val="17"/>
          <w:szCs w:val="17"/>
          <w:color w:val="auto"/>
        </w:rPr>
      </w:pPr>
    </w:p>
    <w:p>
      <w:pPr>
        <w:ind w:left="1000" w:right="40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compliance with laws and regulations, including environmental, employment and tax laws, which vary from country to country and over time, increasing the costs of compliance and potential risks of non-compliance;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1000" w:right="42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enforcing our contractual and intellectual property rights, especially in those foreign countries that do not respect and protect intellectual property rights to the same extent as the United States and European countries;</w:t>
      </w:r>
    </w:p>
    <w:p>
      <w:pPr>
        <w:spacing w:after="0" w:line="62" w:lineRule="exact"/>
        <w:rPr>
          <w:rFonts w:ascii="Arial" w:cs="Arial" w:eastAsia="Arial" w:hAnsi="Arial"/>
          <w:sz w:val="18"/>
          <w:szCs w:val="18"/>
          <w:color w:val="auto"/>
        </w:rPr>
      </w:pPr>
    </w:p>
    <w:p>
      <w:pPr>
        <w:ind w:left="1000" w:right="160" w:hanging="493"/>
        <w:spacing w:after="0" w:line="263"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risk that trade to or from some foreign countries, or companies in foreign countries that manufacture our gear or supply components that are used in our gear, may be affected by political tensions, trade disputes and similar matters, particularly between China and Taiwan or between China and the United States;</w:t>
      </w:r>
    </w:p>
    <w:p>
      <w:pPr>
        <w:spacing w:after="0" w:line="75"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United States and foreign trade restrictions, including those that may limit the importation of technology or components to or from various countries or impose tariffs or quotas;</w:t>
      </w:r>
    </w:p>
    <w:p>
      <w:pPr>
        <w:spacing w:after="0" w:line="62"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or increased costs in establishing sales and distribution channels in unfamiliar markets, with their own market characteristics and competition;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imposition of currency exchange controls or taxes that make it impracticable or costly to repatriate funds from foreign countries.</w:t>
      </w:r>
    </w:p>
    <w:p>
      <w:pPr>
        <w:spacing w:after="0" w:line="225"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To the extent we successfully execute our strategy of expanding into new geographic areas, these and similar risks will increase. We cannot assure you that risks relating to our international operations will not seriously harm our business.</w:t>
      </w:r>
    </w:p>
    <w:p>
      <w:pPr>
        <w:spacing w:after="0" w:line="278" w:lineRule="exact"/>
        <w:rPr>
          <w:sz w:val="20"/>
          <w:szCs w:val="20"/>
          <w:color w:val="auto"/>
        </w:rPr>
      </w:pPr>
    </w:p>
    <w:p>
      <w:pPr>
        <w:ind w:left="520" w:right="160"/>
        <w:spacing w:after="0" w:line="277" w:lineRule="auto"/>
        <w:rPr>
          <w:sz w:val="20"/>
          <w:szCs w:val="20"/>
          <w:color w:val="auto"/>
        </w:rPr>
      </w:pPr>
      <w:r>
        <w:rPr>
          <w:rFonts w:ascii="Arial" w:cs="Arial" w:eastAsia="Arial" w:hAnsi="Arial"/>
          <w:sz w:val="18"/>
          <w:szCs w:val="18"/>
          <w:b w:val="1"/>
          <w:bCs w:val="1"/>
          <w:i w:val="1"/>
          <w:iCs w:val="1"/>
          <w:color w:val="auto"/>
        </w:rPr>
        <w:t>System security and data protection breaches, as well as cyber-attacks, could disrupt our operations, reduce our expected revenue and increase our expenses, which may seriously harm our business.</w:t>
      </w:r>
    </w:p>
    <w:p>
      <w:pPr>
        <w:spacing w:after="0" w:line="62"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Security breaches, computer malware and cyber-attacks have become more prevalent and sophisticated in recent years. These threats are constantly evolving, making it increasingly difficult to successfully defend against them or implement adequate preventative measures. These attacks have occurred on our systems in the past and are expected to occur in the future. Experienced computer programmers, hackers and employees may penetrate our security controls and misappropriate or compromise our confidential information or that of our employees or third parties. These attacks may create system disruptions or cause shutdowns. These hackers may also develop and deploy viruses, worms and other malicious software programs that attack or otherwise exploit security vulnerabilities in our systems. For portions of our information technology infrastructure, including business management and communication software products, we rely on products and services provided by third parties. These providers may also experience breaches and attacks to their products which may impact our systems. Data security breaches may also result from non-technical means, such as actions by an employee with access to our systems. To defend against security threats, both to our internal systems and those of our customers, we must continuously engineer more secure products and enhance security and reliability features, which may result in increased expenses.</w:t>
      </w:r>
    </w:p>
    <w:p>
      <w:pPr>
        <w:spacing w:after="0" w:line="168"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Actual or perceived breaches of our security measures or the accidental loss, inadvertent disclosure or unapproved dissemination of proprietary information or sensitive or confidential data about us, our partners, our customers or third parties could expose us and the parties affected to a risk of loss or misuse of this information, resulting in litigation and potential liability, paying damages, regulatory inquiries or actions, damage to our brand and reputation or other serious harm to our business. Our efforts to prevent and overcome these challenges could increase our expenses and may not be successful. We may experience interruptions, delays, cessation of service and loss of existing or potential customers. Such disruptions could adversely impact our ability to fulfill orders and interrupt other critical functions. Delayed sales, lower margins or lost customers as a result of these disruptions may seriously harm our business.</w:t>
      </w:r>
    </w:p>
    <w:p>
      <w:pPr>
        <w:spacing w:after="0" w:line="303" w:lineRule="exact"/>
        <w:rPr>
          <w:sz w:val="20"/>
          <w:szCs w:val="20"/>
          <w:color w:val="auto"/>
        </w:rPr>
      </w:pPr>
    </w:p>
    <w:p>
      <w:pPr>
        <w:ind w:left="520" w:right="80"/>
        <w:spacing w:after="0" w:line="263" w:lineRule="auto"/>
        <w:rPr>
          <w:sz w:val="20"/>
          <w:szCs w:val="20"/>
          <w:color w:val="auto"/>
        </w:rPr>
      </w:pPr>
      <w:r>
        <w:rPr>
          <w:rFonts w:ascii="Arial" w:cs="Arial" w:eastAsia="Arial" w:hAnsi="Arial"/>
          <w:sz w:val="18"/>
          <w:szCs w:val="18"/>
          <w:b w:val="1"/>
          <w:bCs w:val="1"/>
          <w:i w:val="1"/>
          <w:iCs w:val="1"/>
          <w:color w:val="auto"/>
        </w:rPr>
        <w:t>We may not be able to maintain compliance with all current and potentially applicable U.S. federal and state or foreign laws and regulations relating to privacy and cybersecurity, and actions by regulatory authorities or changes in legislation and regulation in the jurisdictions in which we operate could have a material adverse effect on our business.</w:t>
      </w:r>
    </w:p>
    <w:p>
      <w:pPr>
        <w:spacing w:after="0" w:line="76"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We are subject to a variety of laws and regulations that relate to the collection, processing, storing, disclosing, using, transfer and protecting of personal data and other data and the privacy of individuals. These laws and regulations constantly evolve and remain subject to significant change. In addition, the application and interpretation of these laws and regulations are often uncertain. Because we store, process and use data, some of which contain personal data, we are subject to complex and evolving federal, state and local laws and regulations regarding privacy, data protection and other matters. Many of these laws and regulations are subject to change and uncertain interpretation. The U.S. federal and state governments and agencies may in the future enact new legislation and promulgate new regulations governing collection, use, disclosure, storage, processing, transmission and destruction of personal data and other information. New privacy laws add additional complexity, requirements, restrictions and potential legal risk, require additional investment in resources to compliance programs, and could impact trading strategies and availability of previously useful data.</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240" w:firstLine="510"/>
        <w:spacing w:after="0" w:line="301" w:lineRule="auto"/>
        <w:rPr>
          <w:sz w:val="20"/>
          <w:szCs w:val="20"/>
          <w:color w:val="auto"/>
        </w:rPr>
      </w:pPr>
      <w:r>
        <w:rPr>
          <w:rFonts w:ascii="Arial" w:cs="Arial" w:eastAsia="Arial" w:hAnsi="Arial"/>
          <w:sz w:val="16"/>
          <w:szCs w:val="16"/>
          <w:color w:val="auto"/>
        </w:rPr>
        <w:t>In addition, California enacted the California Consumer Privacy Act of 2018, or the CCPA, which came into force in 2020 (and is discussed in further detail below), which has encouraged “copycat” legislative proposals in other states across the country such as Nevada, Virginia, New Hampshire, Illinois and Nebraska. These legislative proposals may add additional complexity, variation in requirements, restrictions and potential legal risk, require additional investment in resources to compliance programs, and could impact strategies and availability of previously useful data.</w:t>
      </w:r>
    </w:p>
    <w:p>
      <w:pPr>
        <w:spacing w:after="0" w:line="157"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Compliance with existing and emerging privacy and cybersecurity laws and regulations could result in increased compliance costs and/or lead to changes in business practices and policies, and any failure to protect the confidentiality of client information could adversely affect our reputation, lend to private litigation against us, and require additional investment in resources, impact strategies and availability of previously useful data any of which could materially and adversely affect our business, operating results and financial condition.</w:t>
      </w:r>
    </w:p>
    <w:p>
      <w:pPr>
        <w:spacing w:after="0" w:line="295"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The collection, storage, transmission, use and distribution of user data could give rise to liabilities and additional costs of operation as a result of laws, governmental regulation and risks of security breaches.</w:t>
      </w:r>
    </w:p>
    <w:p>
      <w:pPr>
        <w:spacing w:after="0" w:line="62" w:lineRule="exact"/>
        <w:rPr>
          <w:sz w:val="20"/>
          <w:szCs w:val="20"/>
          <w:color w:val="auto"/>
        </w:rPr>
      </w:pPr>
    </w:p>
    <w:p>
      <w:pPr>
        <w:ind w:right="260" w:firstLine="510"/>
        <w:spacing w:after="0" w:line="275" w:lineRule="auto"/>
        <w:rPr>
          <w:sz w:val="20"/>
          <w:szCs w:val="20"/>
          <w:color w:val="auto"/>
        </w:rPr>
      </w:pPr>
      <w:r>
        <w:rPr>
          <w:rFonts w:ascii="Arial" w:cs="Arial" w:eastAsia="Arial" w:hAnsi="Arial"/>
          <w:sz w:val="17"/>
          <w:szCs w:val="17"/>
          <w:color w:val="auto"/>
        </w:rPr>
        <w:t>In connection with certain of our gear, we collect data related to our gamers and streamers. This data is increasingly subject to legislation and regulations in numerous jurisdictions around the world. Government actions are typically intended to protect the privacy and security of personal information and its collection, storage, transmission, use and distribution in or from the governing jurisdiction. In addition, because various jurisdictions have different laws and regulations concerning the use, storage and transmission of such information, we may face requirements that pose compliance challenges in existing markets as well as new international markets that we seek to enter.</w:t>
      </w:r>
    </w:p>
    <w:p>
      <w:pPr>
        <w:spacing w:after="0" w:line="176" w:lineRule="exact"/>
        <w:rPr>
          <w:sz w:val="20"/>
          <w:szCs w:val="20"/>
          <w:color w:val="auto"/>
        </w:rPr>
      </w:pPr>
    </w:p>
    <w:p>
      <w:pPr>
        <w:ind w:right="140" w:firstLine="510"/>
        <w:spacing w:after="0" w:line="284" w:lineRule="auto"/>
        <w:rPr>
          <w:sz w:val="20"/>
          <w:szCs w:val="20"/>
          <w:color w:val="auto"/>
        </w:rPr>
      </w:pPr>
      <w:r>
        <w:rPr>
          <w:rFonts w:ascii="Arial" w:cs="Arial" w:eastAsia="Arial" w:hAnsi="Arial"/>
          <w:sz w:val="16"/>
          <w:szCs w:val="16"/>
          <w:color w:val="auto"/>
        </w:rPr>
        <w:t>Existing privacy-related laws and regulations in the United States and other countries are evolving and are subject to potentially differing interpretations, and various U.S. federal and state or other international legislative and regulatory bodies may expand or enact laws regarding privacy and data security-related matters. For example, the European Union General Data Protection Regulation, or GDPR, which came into effect on May 25, 2018, has led to more stringent operational requirements for processors and controllers of personal data, including, for example, requiring expanded disclosures about how personal information is to be used, limitations on retention of information, mandatory data breach notification requirements, and higher standards for data controllers to demonstrate that they have obtained valid consent or have another legal basis in place to justify their data processing activities. The GDPR provides that EU member states may make their own additional laws and regulations in relation to certain data processing activities, which could limit our ability to use and share personal data or could require localized changes to our operating model. Under the GDPR, fines of up</w:t>
      </w:r>
    </w:p>
    <w:p>
      <w:pPr>
        <w:spacing w:after="0" w:line="1" w:lineRule="exact"/>
        <w:rPr>
          <w:sz w:val="20"/>
          <w:szCs w:val="20"/>
          <w:color w:val="auto"/>
        </w:rPr>
      </w:pPr>
    </w:p>
    <w:p>
      <w:pPr>
        <w:ind w:right="900"/>
        <w:spacing w:after="0" w:line="260" w:lineRule="auto"/>
        <w:rPr>
          <w:sz w:val="20"/>
          <w:szCs w:val="20"/>
          <w:color w:val="auto"/>
        </w:rPr>
      </w:pPr>
      <w:r>
        <w:rPr>
          <w:rFonts w:ascii="Arial" w:cs="Arial" w:eastAsia="Arial" w:hAnsi="Arial"/>
          <w:sz w:val="18"/>
          <w:szCs w:val="18"/>
          <w:color w:val="auto"/>
        </w:rPr>
        <w:t>to €20 million or up to 4% of the total worldwide annual revenue of the preceding financial year, whichever is higher, may be assessed for non-compliance. These new laws also could cause our costs to increase and result in further administrative costs.</w:t>
      </w:r>
    </w:p>
    <w:p>
      <w:pPr>
        <w:spacing w:after="0" w:line="185"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Further, the United Kingdom’s decision to leave the EU, often referred to as Brexit, has created uncertainty with regard to data protection regulation in the United Kingdom. In particular, while the Data Protection Act of 2018, which “implements” and complements the GDPR, achieved Royal Assent on May 23, 2018 and is now effective in the United Kingdom, it is still unclear whether transfer of data from the EEA to the United Kingdom will remain lawful under GDPR. During the period of “transition” (i.e., until December 31, 2020), EU law will continue to apply in the United Kingdom, and the GDPR will be converted into UK law. Beginning in 2021, the UK will be a “third country” under the GDPR, and we may incur liabilities, expenses, costs, and other operational losses under the GDPR and applicable EU Member States, and the United Kingdom privacy laws, in connection with any measures that we take to comply with them.</w:t>
      </w:r>
    </w:p>
    <w:p>
      <w:pPr>
        <w:spacing w:after="0" w:line="195"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Although there are legal mechanisms to allow for the transfer of personal data from the United Kingdom, EEA and Switzerland to the United States, uncertainty about compliance with such data protection laws remains, and such mechanisms may not be available or applicable with respect to the personal data processing activities necessary to research, develop and market our products and services. For example, legal challenges in Europe to the mechanisms allowing companies to transfer personal data from the EEA to the United States could result in further limitations on the ability to transfer personal data across borders, particularly if governments are unable or unwilling to reach new or maintain existing agreements that support cross-border data transfers, such as the EU-U.S. and Swiss-U.S. Privacy Shield Frameworks. Specifically, on July 16, 2020, the Court of Justice of the European Union invalidated Decision 2016/1250 on the adequacy of the protection provided by the EU-U.S. Privacy Shield Framework. To the extent that we were to rely on the EU-U.S. Privacy Shield Framework, we will not be able to do so in the future, which could increase our costs and limit our ability to process personal data from the EU. The same decision also casts doubt on the alternatives to the Privacy Shield, in particular the European Commission’s Standard Contractual Clauses to lawfully transfer personal data from Europe to the United States and most other countries, and by requiring additional risk assessments increasing the regulatory burden relating to such alternatives. At present, there are few if any viable alternatives to the Privacy Shield and the Standard Contractual Clauses.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80" w:firstLine="510"/>
        <w:spacing w:after="0" w:line="253" w:lineRule="auto"/>
        <w:rPr>
          <w:sz w:val="20"/>
          <w:szCs w:val="20"/>
          <w:color w:val="auto"/>
        </w:rPr>
      </w:pPr>
      <w:r>
        <w:rPr>
          <w:rFonts w:ascii="Arial" w:cs="Arial" w:eastAsia="Arial" w:hAnsi="Arial"/>
          <w:sz w:val="18"/>
          <w:szCs w:val="18"/>
          <w:color w:val="auto"/>
        </w:rPr>
        <w:t>In addition, the CCPA, which came into force in 2020, creates individual privacy rights for California consumers and increases the privacy and security obligations of entities handling certain personal data. For example, the CCPA gives California residents expanded rights to access and require deletion of their personal data, opt out of certain personal data sharing and receive detailed information about how their personal data is used. Failure to comply with the CCPA creates additional risks including enforcement by the California attorney general, private rights of actions for certain data breaches, and damage to reputation. The CCPA may increase our compliance costs and potential liability. Additionally, a new California ballot initiative, the California Privacy Rights Act, has garnered enough signatures to be included on the November 2020 ballot in California, and if voted into law, would impose additional data protection obligations on companies doing business in California. It would also create a new California data protection agency specifically tasked to enforce the law, which would likely result in increased regulatory scrutiny of California businesses in the areas of data protection and security.</w:t>
      </w:r>
    </w:p>
    <w:p>
      <w:pPr>
        <w:spacing w:after="0" w:line="196"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Furthermore, information security risks have generally increased in recent years because of the proliferation of new technologies and the increased sophistication and activities of perpetrators of cyber-attacks. Hackers and data thieves are increasingly sophisticated and operating large-scale and complex automated attacks. As cyber threats continue to evolve, we may be required to expend additional resources to further enhance our information security measures, develop additional protocols and/or to investigate and remediate any information security vulnerabilities. We cannot guarantee that our facilities and systems will be free of security breaches, cyber-attacks, acts of vandalism, computer viruses, malware, ransomware, denial-of-service attacks, misplaced or lost data, programming and/or human errors or other similar events. Any compromise or perceived compromise of the security of our systems could damage our reputation, result in disruption or interruption to our business operations, reduce demand for our products and subject us to significant liability and expense as well as regulatory action and lawsuits, which would harm our business, operating results and financial condition.</w:t>
      </w:r>
    </w:p>
    <w:p>
      <w:pPr>
        <w:spacing w:after="0" w:line="165"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In addition, any failure or perceived failure by us to comply with privacy or security laws, policies, legal obligations or industry standards, or any security incident that results in the actual or alleged unauthorized release or transfer of personal data, may result in governmental enforcement actions and investigations, including fines and penalties, enforcement orders requiring us to cease processing or operating in a certain way, litigation and/or adverse publicity, including by consumer advocacy groups, and could cause our customers to lose trust in us, which could have material impacts on our revenue and operations and could seriously harm our business.</w:t>
      </w:r>
    </w:p>
    <w:p>
      <w:pPr>
        <w:spacing w:after="0" w:line="296" w:lineRule="exact"/>
        <w:rPr>
          <w:sz w:val="20"/>
          <w:szCs w:val="20"/>
          <w:color w:val="auto"/>
        </w:rPr>
      </w:pPr>
    </w:p>
    <w:p>
      <w:pPr>
        <w:ind w:left="520" w:right="40"/>
        <w:spacing w:after="0" w:line="277" w:lineRule="auto"/>
        <w:rPr>
          <w:sz w:val="20"/>
          <w:szCs w:val="20"/>
          <w:color w:val="auto"/>
        </w:rPr>
      </w:pPr>
      <w:r>
        <w:rPr>
          <w:rFonts w:ascii="Arial" w:cs="Arial" w:eastAsia="Arial" w:hAnsi="Arial"/>
          <w:sz w:val="18"/>
          <w:szCs w:val="18"/>
          <w:b w:val="1"/>
          <w:bCs w:val="1"/>
          <w:i w:val="1"/>
          <w:iCs w:val="1"/>
          <w:color w:val="auto"/>
        </w:rPr>
        <w:t>We may be adversely affected by the financial condition of retailers and distributors to whom we sell our gear and may also be adversely affected by the financial condition of our competitors.</w:t>
      </w:r>
    </w:p>
    <w:p>
      <w:pPr>
        <w:spacing w:after="0" w:line="62" w:lineRule="exact"/>
        <w:rPr>
          <w:sz w:val="20"/>
          <w:szCs w:val="20"/>
          <w:color w:val="auto"/>
        </w:rPr>
      </w:pPr>
    </w:p>
    <w:p>
      <w:pPr>
        <w:ind w:right="220" w:firstLine="510"/>
        <w:spacing w:after="0" w:line="293" w:lineRule="auto"/>
        <w:rPr>
          <w:sz w:val="20"/>
          <w:szCs w:val="20"/>
          <w:color w:val="auto"/>
        </w:rPr>
      </w:pPr>
      <w:r>
        <w:rPr>
          <w:rFonts w:ascii="Arial" w:cs="Arial" w:eastAsia="Arial" w:hAnsi="Arial"/>
          <w:sz w:val="16"/>
          <w:szCs w:val="16"/>
          <w:color w:val="auto"/>
        </w:rPr>
        <w:t>Retailers and distributors of consumer electronics products have, from time to time, experienced significant fluctuations in their businesses and some of them have become insolvent. A retailer or distributor experiencing such difficulties will generally not purchase and sell as much of our gear as it would under normal circumstances and may cancel orders. In addition, a retailer or distributor experiencing financial difficulties generally increases our exposure to uncollectible receivables. Moreover, if one of our distributor or retailer customers experiences financial distress or bankruptcy, they may be required to liquidate their inventory of our gear, or similar products that compete with our gear, at reduced prices, which can result in substantial over-supply and reduced demand for our gear over the short term. If any of these circumstances were to occur, it could seriously harm our business.</w:t>
      </w:r>
    </w:p>
    <w:p>
      <w:pPr>
        <w:spacing w:after="0" w:line="164"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Likewise, our competitors may from time to time experience similar financial difficulties or may elect to terminate their sales of certain products. If one of our competitors experiences financial distress or bankruptcy and is forced to liquidate inventory or exits a product line and disposes of inventory at reduced prices, this may also result in over-supply of and reduced demand for our gear and could have a short-term adverse effect on our results of operations and financial condition.</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online operations are subject to numerous risks that may seriously harm our business.</w:t>
      </w:r>
    </w:p>
    <w:p>
      <w:pPr>
        <w:spacing w:after="0" w:line="117"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Our online operations, where we sell a number of products through our online stores, subject us to certain risks that could seriously harm our business, financial condition and results of operations. For example, the operation and expansion of our online stores may seriously harm our relationships with our retailers and distributors. Further, existing and future regulations and laws could impede the growth of our online operations. These regulations and laws may involve taxes, tariffs, privacy and data security, anti-spam, content protection, electronic contracts and communications, consumer protection and social media marketing. We cannot be sure that our practices have complied, comply or will comply fully with all such laws and regulations. Any failure, or perceived failure, by us to comply with any of these laws or regulations could result in damage to our reputation, a loss in business and proceedings or actions against us by governmental entities or others. Any such proceeding or action could hurt our reputation, force us to spend significant amounts in defense of these proceedings, distract our management, increase our costs of doing business and decrease the use of our sites by gamers, streamers and suppliers and may result in the imposition of monetary liability.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In addition, our online stores are partially handled by a third-party ecommerce service provider. We rely on this service provider to handle, among other things, payment and processing of online sales. If the service provider does not perform these functions satisfactorily, we may find another third-party service provider or undertake such operations ourselves, but we may not be able to successfully do either. In either case, our online sales and our customer service reputation could be adversely affected which, in turn, may seriously harm our business.</w:t>
      </w:r>
    </w:p>
    <w:p>
      <w:pPr>
        <w:spacing w:after="0" w:line="279" w:lineRule="exact"/>
        <w:rPr>
          <w:sz w:val="20"/>
          <w:szCs w:val="20"/>
          <w:color w:val="auto"/>
        </w:rPr>
      </w:pPr>
    </w:p>
    <w:p>
      <w:pPr>
        <w:ind w:left="520" w:right="80"/>
        <w:spacing w:after="0" w:line="277" w:lineRule="auto"/>
        <w:rPr>
          <w:sz w:val="20"/>
          <w:szCs w:val="20"/>
          <w:color w:val="auto"/>
        </w:rPr>
      </w:pPr>
      <w:r>
        <w:rPr>
          <w:rFonts w:ascii="Arial" w:cs="Arial" w:eastAsia="Arial" w:hAnsi="Arial"/>
          <w:sz w:val="18"/>
          <w:szCs w:val="18"/>
          <w:b w:val="1"/>
          <w:bCs w:val="1"/>
          <w:i w:val="1"/>
          <w:iCs w:val="1"/>
          <w:color w:val="auto"/>
        </w:rPr>
        <w:t>We may recognize restructuring and impairment charges in future periods, which will adversely affect our operating results and could seriously harm our business.</w:t>
      </w:r>
    </w:p>
    <w:p>
      <w:pPr>
        <w:spacing w:after="0" w:line="62" w:lineRule="exact"/>
        <w:rPr>
          <w:sz w:val="20"/>
          <w:szCs w:val="20"/>
          <w:color w:val="auto"/>
        </w:rPr>
      </w:pPr>
    </w:p>
    <w:p>
      <w:pPr>
        <w:ind w:right="360" w:firstLine="510"/>
        <w:spacing w:after="0" w:line="342" w:lineRule="auto"/>
        <w:rPr>
          <w:sz w:val="20"/>
          <w:szCs w:val="20"/>
          <w:color w:val="auto"/>
        </w:rPr>
      </w:pPr>
      <w:r>
        <w:rPr>
          <w:rFonts w:ascii="Arial" w:cs="Arial" w:eastAsia="Arial" w:hAnsi="Arial"/>
          <w:sz w:val="16"/>
          <w:szCs w:val="16"/>
          <w:color w:val="auto"/>
        </w:rPr>
        <w:t>Depending on market and economic conditions in future periods, we may implement restructuring initiatives. As a result of these initiatives, we could incur restructuring charges, lose key personnel and experience disruptions in our operations and difficulties in delivering our gear.</w:t>
      </w:r>
    </w:p>
    <w:p>
      <w:pPr>
        <w:spacing w:after="0" w:line="124"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We are required to test goodwill, intangible assets and other long-lived assets for recoverability and may be required to record charges if there are indicators of impairment, and we have in the past recognized impairment charges. As of September 30, 2020, we had approximately $311.6 million of goodwill, $265.4 million of intangible assets and $15.4 million of other long-lived assets. One of our strategies is to grow through acquisitions of other businesses or technologies and, if we are successful in doing so, these acquisitions may result in goodwill and other long-lived assets. The risk that we will be required to recognize impairment charges is also heightened by the fact that the life cycles of much of the gear we sell are relatively short, which increases the possibility that we may be required to recognize impairment charges for obsolete inventory. Impairment charges will adversely affect our operating results and could seriously harm our business.</w:t>
      </w:r>
    </w:p>
    <w:p>
      <w:pPr>
        <w:spacing w:after="0" w:line="285" w:lineRule="exact"/>
        <w:rPr>
          <w:sz w:val="20"/>
          <w:szCs w:val="20"/>
          <w:color w:val="auto"/>
        </w:rPr>
      </w:pPr>
    </w:p>
    <w:p>
      <w:pPr>
        <w:ind w:left="520" w:right="200"/>
        <w:spacing w:after="0" w:line="263" w:lineRule="auto"/>
        <w:rPr>
          <w:sz w:val="20"/>
          <w:szCs w:val="20"/>
          <w:color w:val="auto"/>
        </w:rPr>
      </w:pPr>
      <w:r>
        <w:rPr>
          <w:rFonts w:ascii="Arial" w:cs="Arial" w:eastAsia="Arial" w:hAnsi="Arial"/>
          <w:sz w:val="18"/>
          <w:szCs w:val="18"/>
          <w:b w:val="1"/>
          <w:bCs w:val="1"/>
          <w:i w:val="1"/>
          <w:iCs w:val="1"/>
          <w:color w:val="auto"/>
        </w:rPr>
        <w:t>Our future success depends to a large degree on our ability to defend the Corsair brand and product family brands such as SCUF, Vengeance, K70, Elgato and iCUE from infringement and, if we are unable to protect our brand and other intellectual property, our business may be seriously harmed.</w:t>
      </w:r>
    </w:p>
    <w:p>
      <w:pPr>
        <w:spacing w:after="0" w:line="76"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We consider the Corsair brand to be one of our most valuable assets. We also consider the Elgato, Origin, and SCUF brands; proprietary technology brands such as iCUE and Slipstream; and major product family brands such as Corsair ONE, Dark Core, Dominator, Glaive, Harpoon, Ironclaw, K70, Nightsword, Scimitar, Vengeance, and Void to be important to our business. Our future success depends to a large degree upon our ability to defend the Corsair brand, proprietary technology brands and product family brands from infringement and to protect our other intellectual property. We rely on a combination of copyright, trademark, patent and other intellectual property laws and confidentiality procedures and contractual provisions such as nondisclosure terms to protect our intellectual property. Although we hold a trademark registration on the Corsair name in the United States and a number of other countries, the Corsair name does not have trademark protection in other parts of the world, including some major markets, and we may be unable to register the Corsair name as a trademark in some countries. Likewise, we hold a trademark registration on certain brands such as K70 only in the United States, Australia and New Zealand and therefore such brands do not have trademark protection in other parts of the world. If third parties misappropriate or infringe on our brands or we are unable to protect our brands, or if third parties use the Corsair, Corsair ONE, Dark Core, Dominator, Elgato, Glaive, Harpoon, iCUE, Ironclaw, K70, Nightsword, Origin, SCUF, Slipstream, Scimitar, Vengeance and Void brand names, or other brand names we maintain, to sell their products in countries where we do not have trademark protection, it may seriously harm our business.</w:t>
      </w:r>
    </w:p>
    <w:p>
      <w:pPr>
        <w:spacing w:after="0" w:line="168" w:lineRule="exact"/>
        <w:rPr>
          <w:sz w:val="20"/>
          <w:szCs w:val="20"/>
          <w:color w:val="auto"/>
        </w:rPr>
      </w:pPr>
    </w:p>
    <w:p>
      <w:pPr>
        <w:ind w:right="400" w:firstLine="510"/>
        <w:spacing w:after="0" w:line="257" w:lineRule="auto"/>
        <w:rPr>
          <w:sz w:val="20"/>
          <w:szCs w:val="20"/>
          <w:color w:val="auto"/>
        </w:rPr>
      </w:pPr>
      <w:r>
        <w:rPr>
          <w:rFonts w:ascii="Arial" w:cs="Arial" w:eastAsia="Arial" w:hAnsi="Arial"/>
          <w:sz w:val="18"/>
          <w:szCs w:val="18"/>
          <w:color w:val="auto"/>
        </w:rPr>
        <w:t>We hold a limited number of patents and pending patent applications. It is possible that any patent owned by us will be invalidated, deemed unenforceable, circumvented or challenged and that our pending or any future patent applications will not be granted. In addition, other intellectual property laws or our confidentiality procedures and contractual provisions may not adequately protect our intellectual property and others may independently develop similar technology, duplicate our gear, or design around any intellectual property rights we may have. Any of these events may seriously harm our business.</w:t>
      </w:r>
    </w:p>
    <w:p>
      <w:pPr>
        <w:spacing w:after="0" w:line="188"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Certain of the licenses pursuant to which we are permitted to use the intellectual property of third parties can be terminated at any time by us or the other party. If we are unable to negotiate and maintain licenses on acceptable terms, we will be required to develop alternative technology internally or license it from other third parties, which may be difficult and costly or impossible.</w:t>
      </w:r>
    </w:p>
    <w:p>
      <w:pPr>
        <w:spacing w:after="0" w:line="184" w:lineRule="exact"/>
        <w:rPr>
          <w:sz w:val="20"/>
          <w:szCs w:val="20"/>
          <w:color w:val="auto"/>
        </w:rPr>
      </w:pPr>
    </w:p>
    <w:p>
      <w:pPr>
        <w:jc w:val="both"/>
        <w:ind w:right="40" w:firstLine="510"/>
        <w:spacing w:after="0" w:line="259" w:lineRule="auto"/>
        <w:rPr>
          <w:sz w:val="20"/>
          <w:szCs w:val="20"/>
          <w:color w:val="auto"/>
        </w:rPr>
      </w:pPr>
      <w:r>
        <w:rPr>
          <w:rFonts w:ascii="Arial" w:cs="Arial" w:eastAsia="Arial" w:hAnsi="Arial"/>
          <w:sz w:val="18"/>
          <w:szCs w:val="18"/>
          <w:color w:val="auto"/>
        </w:rPr>
        <w:t>The expansion of our business will require us to protect our trademarks, domain names, copyrights, patents and other intellectual property rights in an increasing number of jurisdictions, a process that is expensive and sometimes requires litigation. If we are unable to protect and enforce our trademarks, domain names, copyrights, patents and other intellectual property rights, or prevent third parties from infringing upon them, our business may be seriously harmed.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We have taken steps in the past to enforce our intellectual property rights and expect to continue to do so in the future. However, it may not be practicable or cost-effective for us to enforce our rights with respect to certain items of intellectual property rights fully, or at all, particularly in developing countries where the enforcement of intellectual property rights may be more difficult than in the United States. It is also possible that, given the costs of obtaining patent protection, we may choose not to seek patent protection for certain items of intellectual property that may later turn out to be important.</w:t>
      </w:r>
    </w:p>
    <w:p>
      <w:pPr>
        <w:spacing w:after="0" w:line="26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Some of our products contain open source software, which may pose particular risks to our proprietary software and products.</w:t>
      </w:r>
    </w:p>
    <w:p>
      <w:pPr>
        <w:spacing w:after="0" w:line="129" w:lineRule="exact"/>
        <w:rPr>
          <w:sz w:val="20"/>
          <w:szCs w:val="20"/>
          <w:color w:val="auto"/>
        </w:rPr>
      </w:pPr>
    </w:p>
    <w:p>
      <w:pPr>
        <w:ind w:right="20" w:firstLine="510"/>
        <w:spacing w:after="0" w:line="285" w:lineRule="auto"/>
        <w:rPr>
          <w:sz w:val="20"/>
          <w:szCs w:val="20"/>
          <w:color w:val="auto"/>
        </w:rPr>
      </w:pPr>
      <w:r>
        <w:rPr>
          <w:rFonts w:ascii="Arial" w:cs="Arial" w:eastAsia="Arial" w:hAnsi="Arial"/>
          <w:sz w:val="16"/>
          <w:szCs w:val="16"/>
          <w:color w:val="auto"/>
        </w:rPr>
        <w:t>Our products rely on software licensed by third parties under open source licenses, including as incorporated into software we receive from third-party commercial software vendors, and will continue to rely on such open source software in the future. Use of open source software may entail greater risks than use of third-party commercial software, as open source licensors generally do not provide support, updates, warranties or other contractual protections regarding infringement claims or the quality of the code, and the wide availability of source code to components used in our products could expose us to security vulnerabilities. Furthermore, the terms of many open source licenses have not been interpreted by U.S. courts, and there is a risk that such licenses could be construed in a manner that imposes unanticipated conditions or restrictions on our ability to market or commercialize our products. As a result, we may face claims from third parties claiming ownership of what we believe to be open source software. In addition, by the terms of some open source licenses, under certain conditions, we could be required to release our proprietary source code, and to make our proprietary software available under open source licenses, including authorizing further modification and redistribution. These claims or requirements could result in litigation and could require us to purchase a costly license or cease offering the implicated products unless and until we can re-engineer them to avoid infringement or release of our proprietary source code. This re-engineering process could require significant additional research and development resources. In addition, we have intentionally made certain software we have developed available on an open source basis, both by contributing modifications back to existing open source projects, and by making certain internally developed tools available pursuant to open source licenses, and we plan to continue to do so in the future. While we engage in a review process for any such contributions, which is designed to protect any code that may be competitively sensitive, it is still possible that our competitors or others could use this code for competitive purposes, or for commercial or other purposes beyond what we intended. Any of these risks could be difficult to eliminate or manage, and, if not addressed, could seriously harm our business.</w:t>
      </w:r>
    </w:p>
    <w:p>
      <w:pPr>
        <w:spacing w:after="0" w:line="284" w:lineRule="exact"/>
        <w:rPr>
          <w:sz w:val="20"/>
          <w:szCs w:val="20"/>
          <w:color w:val="auto"/>
        </w:rPr>
      </w:pPr>
    </w:p>
    <w:p>
      <w:pPr>
        <w:ind w:left="520" w:right="180"/>
        <w:spacing w:after="0" w:line="308" w:lineRule="auto"/>
        <w:rPr>
          <w:sz w:val="20"/>
          <w:szCs w:val="20"/>
          <w:color w:val="auto"/>
        </w:rPr>
      </w:pPr>
      <w:r>
        <w:rPr>
          <w:rFonts w:ascii="Arial" w:cs="Arial" w:eastAsia="Arial" w:hAnsi="Arial"/>
          <w:sz w:val="17"/>
          <w:szCs w:val="17"/>
          <w:b w:val="1"/>
          <w:bCs w:val="1"/>
          <w:i w:val="1"/>
          <w:iCs w:val="1"/>
          <w:color w:val="auto"/>
        </w:rPr>
        <w:t>We are, have in the past been, and may in the future be, subject to intellectual property infringement claims, which are costly to defend, could require us to pay damages or royalties and could limit our ability to use certain technologies in the future.</w:t>
      </w:r>
    </w:p>
    <w:p>
      <w:pPr>
        <w:spacing w:after="0" w:line="38"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Companies in the technology industry are frequently subject to litigation or disputes based on allegations of infringement or other violations of intellectual property rights. We have faced claims that we have infringed, or that our use of components or products supplied to us by third parties have infringed, patents or other intellectual property rights of others in the past and may in the future face similar claims. While we are currently involved in an intellectual property infringement claim, we do not believe such claim will have a material adverse effect on our business.</w:t>
      </w:r>
    </w:p>
    <w:p>
      <w:pPr>
        <w:spacing w:after="0" w:line="171" w:lineRule="exact"/>
        <w:rPr>
          <w:sz w:val="20"/>
          <w:szCs w:val="20"/>
          <w:color w:val="auto"/>
        </w:rPr>
      </w:pPr>
    </w:p>
    <w:p>
      <w:pPr>
        <w:ind w:firstLine="510"/>
        <w:spacing w:after="0" w:line="284" w:lineRule="auto"/>
        <w:rPr>
          <w:sz w:val="20"/>
          <w:szCs w:val="20"/>
          <w:color w:val="auto"/>
        </w:rPr>
      </w:pPr>
      <w:r>
        <w:rPr>
          <w:rFonts w:ascii="Arial" w:cs="Arial" w:eastAsia="Arial" w:hAnsi="Arial"/>
          <w:sz w:val="16"/>
          <w:szCs w:val="16"/>
          <w:color w:val="auto"/>
        </w:rPr>
        <w:t>Any intellectual property claims, with or without merit, can be time-consuming, expensive to litigate or settle and can divert management resources and attention. For example, in the past we have settled claims relating to infringement allegations and agreed to make royalty or license payments in connection with such settlements. An adverse determination could require that we pay damages, which could be substantial, or stop using technologies found to be in violation of a third-party’s rights and could prevent us from selling some of our gear. In order to avoid these restrictions, we may have to seek a license for the technology. Any such license may not be available on reasonable terms or at all, could require us to pay significant royalties and may significantly increase our operating expenses or otherwise seriously harm our business or operating results. As a result, we may be required to develop alternative non-infringing technologies, which could require significant effort and expense and might not be successful or, if alternative non-</w:t>
      </w:r>
    </w:p>
    <w:p>
      <w:pPr>
        <w:spacing w:after="0" w:line="2" w:lineRule="exact"/>
        <w:rPr>
          <w:sz w:val="20"/>
          <w:szCs w:val="20"/>
          <w:color w:val="auto"/>
        </w:rPr>
      </w:pPr>
    </w:p>
    <w:p>
      <w:pPr>
        <w:jc w:val="both"/>
        <w:ind w:right="200"/>
        <w:spacing w:after="0" w:line="277" w:lineRule="auto"/>
        <w:rPr>
          <w:sz w:val="20"/>
          <w:szCs w:val="20"/>
          <w:color w:val="auto"/>
        </w:rPr>
      </w:pPr>
      <w:r>
        <w:rPr>
          <w:rFonts w:ascii="Arial" w:cs="Arial" w:eastAsia="Arial" w:hAnsi="Arial"/>
          <w:sz w:val="17"/>
          <w:szCs w:val="17"/>
          <w:color w:val="auto"/>
        </w:rPr>
        <w:t>infringing technologies already exist, we may be required to license those technologies from third parties, which may be expensive or impossible. If we cannot license or develop technologies for any infringing aspects of our business, we may be forced to halt sales of our gear incorporating the infringing technologies and may be unable to compete effectively. Any of these results may seriously harm our business.</w:t>
      </w:r>
    </w:p>
    <w:p>
      <w:pPr>
        <w:spacing w:after="0" w:line="281" w:lineRule="exact"/>
        <w:rPr>
          <w:sz w:val="20"/>
          <w:szCs w:val="20"/>
          <w:color w:val="auto"/>
        </w:rPr>
      </w:pPr>
    </w:p>
    <w:p>
      <w:pPr>
        <w:ind w:left="520" w:right="280"/>
        <w:spacing w:after="0" w:line="277" w:lineRule="auto"/>
        <w:rPr>
          <w:sz w:val="20"/>
          <w:szCs w:val="20"/>
          <w:color w:val="auto"/>
        </w:rPr>
      </w:pPr>
      <w:r>
        <w:rPr>
          <w:rFonts w:ascii="Arial" w:cs="Arial" w:eastAsia="Arial" w:hAnsi="Arial"/>
          <w:sz w:val="18"/>
          <w:szCs w:val="18"/>
          <w:b w:val="1"/>
          <w:bCs w:val="1"/>
          <w:i w:val="1"/>
          <w:iCs w:val="1"/>
          <w:color w:val="auto"/>
        </w:rPr>
        <w:t>We and our contract manufacturers may be adversely affected by seismic activity or other natural disasters, and our business continuity and disaster recovery plans may not adequately protect us from a serious disaster.</w:t>
      </w:r>
    </w:p>
    <w:p>
      <w:pPr>
        <w:spacing w:after="0" w:line="62"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Our corporate headquarters are located in the San Francisco Bay Area and the testing and packaging of most of our DRAM modules take place in our facility in Taiwan. Both locations are known to experience earthquakes from time to time, some of which have been severe. In addition, typhoons and other severe weather systems frequently affect Taiwan. Most of the third-party facilities where our gear and some of the components used in our gear is manufactured are located in China, Taiwan and other areas that are known for seismic activity and other natural disasters. Earthquakes in any of the foregoing areas may also result in tsunamis. We do</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not carry earthquake insurance. As a result, earthquakes or other natural disasters could severely disrupt our operations, either directly or as a result of their effect on third-party manufacturers and suppliers upon whom we rely and their respective supply chains and may negatively impact the ordering patterns of our customers and may seriously harm our business.</w:t>
      </w:r>
    </w:p>
    <w:p>
      <w:pPr>
        <w:spacing w:after="0" w:line="292" w:lineRule="exact"/>
        <w:rPr>
          <w:sz w:val="20"/>
          <w:szCs w:val="20"/>
          <w:color w:val="auto"/>
        </w:rPr>
      </w:pPr>
    </w:p>
    <w:p>
      <w:pPr>
        <w:ind w:left="520" w:right="120"/>
        <w:spacing w:after="0" w:line="259"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controls over financial reporting. If our remediation of the material weaknesses is not effective or we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w:t>
      </w:r>
    </w:p>
    <w:p>
      <w:pPr>
        <w:spacing w:after="0" w:line="79"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In connection with the preparation of our 2018 audited financial statements, we identified material weaknesses in our internal controls over financial reporting. A material weakness is a deficiency, or a combination of deficiencies, in internal controls over financial reporting, such that there is a reasonable possibility that a material misstatement of our annual or interim consolidated financial statements will not be prevented or detected on a timely basis.</w:t>
      </w:r>
    </w:p>
    <w:p>
      <w:pPr>
        <w:spacing w:after="0" w:line="149"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These material weaknesses related to maintaining an insufficient compliment of appropriately trained resources, which resulted in the failure to identify risks related to appropriate process level controls over accounting across multiple areas of financial reporting, including inventory, income taxes, general information technology controls, warranty reserves, sales returns and web based sales.</w:t>
      </w:r>
    </w:p>
    <w:p>
      <w:pPr>
        <w:spacing w:after="0" w:line="184"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After these material weaknesses were identified, during 2019 management implemented a remediation plan that included hiring key accounting personnel. While we have taken steps to remediate these material weaknesses, we cannot assure you that these measures will significantly improve or fully remediate the material weaknesses described above. If we are unable to remediate the above material weaknesses, our reputation and the market price of our stock could be seriously harmed.</w:t>
      </w:r>
    </w:p>
    <w:p>
      <w:pPr>
        <w:spacing w:after="0" w:line="295" w:lineRule="exact"/>
        <w:rPr>
          <w:sz w:val="20"/>
          <w:szCs w:val="20"/>
          <w:color w:val="auto"/>
        </w:rPr>
      </w:pPr>
    </w:p>
    <w:p>
      <w:pPr>
        <w:ind w:left="520" w:right="520"/>
        <w:spacing w:after="0" w:line="277" w:lineRule="auto"/>
        <w:rPr>
          <w:sz w:val="20"/>
          <w:szCs w:val="20"/>
          <w:color w:val="auto"/>
        </w:rPr>
      </w:pPr>
      <w:r>
        <w:rPr>
          <w:rFonts w:ascii="Arial" w:cs="Arial" w:eastAsia="Arial" w:hAnsi="Arial"/>
          <w:sz w:val="18"/>
          <w:szCs w:val="18"/>
          <w:b w:val="1"/>
          <w:bCs w:val="1"/>
          <w:i w:val="1"/>
          <w:iCs w:val="1"/>
          <w:color w:val="auto"/>
        </w:rPr>
        <w:t>We are subject to various environmental laws, conflict mineral-related provisions of the Dodd-Frank Act and other regulations that could impose substantial costs upon us and may seriously harm our business.</w:t>
      </w:r>
    </w:p>
    <w:p>
      <w:pPr>
        <w:spacing w:after="0" w:line="62"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Our operations, properties and the gear we sell are subject to a variety of U.S. and foreign environmental laws and regulations governing, among other things, air emissions, wastewater discharges, management and disposal of hazardous and non-hazardous materials and waste, and remediation of releases of hazardous materials. Our failure to comply with present and future requirements under these laws and regulations, or environmental contamination or releases of hazardous materials on our leased premises, as well as through disposal of our gear, could cause us to incur substantial costs, including clean-up costs, personal injury and property damage claims, fines and penalties, costs to redesign our gear or upgrade our facilities and legal costs, or require us to curtail our operations. Environmental contamination or releases of hazardous materials may also subject us to claims of property damage or personal injury, which could result in litigation and require us to make substantial payments to satisfy adverse judgments or pay settlements. Liability under environmental laws can be joint and several and without regard to comparative fault. We also expect that our operations will be affected by new environmental laws and regulations on an ongoing basis, which will likely result in additional costs. Environmental laws and regulations could also require that we redesign our gear or change how our gear is made, any of which could seriously harm our business. The costs of complying with environmental laws and regulations or the effect of any claims or liability concerning or resulting from noncompliance or environmental contamination could also seriously harm our business.</w:t>
      </w:r>
    </w:p>
    <w:p>
      <w:pPr>
        <w:spacing w:after="0" w:line="179"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Under the Dodd-Frank Act, the SEC adopted disclosure and reporting requirements for companies that use “conflict” minerals originating from the Democratic Republic of Congo or adjoining countries. We continue to incur costs associated with complying with these requirements, such as costs related to developing internal controls for the due diligence process, determining the source of any conflict minerals used in our gear, auditing the process and reporting to our customers and the SEC. In addition to the SEC regulation, the European Union, China and other jurisdictions are developing new policies focused on conflict minerals that may impact and increase the cost of our compliance program. Also, since our supply chain is complex, we may face reputational challenges if we are unable to sufficiently verify the origins of the subject minerals. Moreover, we are likely to encounter challenges to satisfy those customers who require that all of the components of our gear are certified as “conflict free.” If we cannot satisfy these customers, they may choose a competitor’s products.</w:t>
      </w:r>
    </w:p>
    <w:p>
      <w:pPr>
        <w:spacing w:after="0" w:line="178"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The U.S. federal government has issued new policies for federal procurement focused on eradicating the practice of forced labor and human trafficking. In addition, the United Kingdom and the State of California have issued laws that require us to disclose our policy and practices for identifying and eliminating forced labor and human trafficking in our supply chain. While we have a policy and management systems to identify and avoid these practices in our supply chain, we cannot guarantee that our suppliers will always be in conformance to these laws and expectations. We may face enforcement liability and reputational challenges if we are unable to sufficiently meet these expectations.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controlled by EagleTree, whose interests in our business may be different than yours.</w:t>
      </w:r>
    </w:p>
    <w:p>
      <w:pPr>
        <w:spacing w:after="0" w:line="117" w:lineRule="exact"/>
        <w:rPr>
          <w:sz w:val="20"/>
          <w:szCs w:val="20"/>
          <w:color w:val="auto"/>
        </w:rPr>
      </w:pPr>
    </w:p>
    <w:p>
      <w:pPr>
        <w:ind w:right="140" w:firstLine="510"/>
        <w:spacing w:after="0" w:line="272" w:lineRule="auto"/>
        <w:rPr>
          <w:sz w:val="20"/>
          <w:szCs w:val="20"/>
          <w:color w:val="auto"/>
        </w:rPr>
      </w:pPr>
      <w:r>
        <w:rPr>
          <w:rFonts w:ascii="Arial" w:cs="Arial" w:eastAsia="Arial" w:hAnsi="Arial"/>
          <w:sz w:val="17"/>
          <w:szCs w:val="17"/>
          <w:color w:val="auto"/>
        </w:rPr>
        <w:t>As of September 30, 2020, EagleTree beneficially owned approximately 78% of our common stock and is able to control our affairs in all cases. Further, pursuant to the terms of an Investor Rights Agreement between us and EagleTree, EagleTree has the right, among other things, to designate the chairman of our board of directors, as well as the right to nominate up to five out of eight directors to our board of directors as long as affiliates of EagleTree beneficially own at least 50% of our common stock, four directors as long as affiliates of EagleTree beneficially own at least 40% and less than 50% of our common stock, three directors as long as affiliates of EagleTree beneficially own at least 30% and less than 40% of our common stock, two directors as long as affiliates of EagleTree beneficially own at least 20% and less than 30% of our common stock and one director as long as affiliates of EagleTree beneficially own at least 10% and less than 20% of our common stock.</w:t>
      </w:r>
    </w:p>
    <w:p>
      <w:pPr>
        <w:spacing w:after="0" w:line="177" w:lineRule="exact"/>
        <w:rPr>
          <w:sz w:val="20"/>
          <w:szCs w:val="20"/>
          <w:color w:val="auto"/>
        </w:rPr>
      </w:pPr>
    </w:p>
    <w:p>
      <w:pPr>
        <w:ind w:right="20" w:firstLine="510"/>
        <w:spacing w:after="0" w:line="288" w:lineRule="auto"/>
        <w:rPr>
          <w:sz w:val="20"/>
          <w:szCs w:val="20"/>
          <w:color w:val="auto"/>
        </w:rPr>
      </w:pPr>
      <w:r>
        <w:rPr>
          <w:rFonts w:ascii="Arial" w:cs="Arial" w:eastAsia="Arial" w:hAnsi="Arial"/>
          <w:sz w:val="16"/>
          <w:szCs w:val="16"/>
          <w:color w:val="auto"/>
        </w:rPr>
        <w:t>As a result of the foregoing, EagleTree or its respective designees to our board of directors will have the ability to control the appointment of our management, the entering into of mergers, sales of substantially all or all of our assets and other extraordinary transactions and influence amendments to our amended and restated certificate of incorporation and bylaws. So long as EagleTree continues to beneficially own a majority of our common stock, they will have the ability to control the vote in any election of directors and will have the ability to prevent any transaction that requires stockholder approval regardless of whether other stockholders believe the transaction is in our best interests. In any of these matters, the interests of EagleTree may differ from or conflict with your interests. Moreover, this concentration of stock ownership may also adversely affect the trading price for our common stock to the extent investors perceive disadvantages in owning stock of a company with a controlling stockholder. In addition, EagleTree is in the business of making investments in companies and may, from time to time, acquire interests in businesses that directly or indirectly compete with our business, as well as businesses that are our significant existing or potential suppliers or customers. EagleTree may acquire or seek to acquire assets that we seek to acquire and, as a result, those acquisition opportunities may not be available to us or may be more expensive for us to pursue.</w:t>
      </w:r>
    </w:p>
    <w:p>
      <w:pPr>
        <w:spacing w:after="0" w:line="276" w:lineRule="exact"/>
        <w:rPr>
          <w:sz w:val="20"/>
          <w:szCs w:val="20"/>
          <w:color w:val="auto"/>
        </w:rPr>
      </w:pPr>
    </w:p>
    <w:p>
      <w:pPr>
        <w:ind w:left="520" w:right="100"/>
        <w:spacing w:after="0" w:line="263" w:lineRule="auto"/>
        <w:rPr>
          <w:sz w:val="20"/>
          <w:szCs w:val="20"/>
          <w:color w:val="auto"/>
        </w:rPr>
      </w:pPr>
      <w:r>
        <w:rPr>
          <w:rFonts w:ascii="Arial" w:cs="Arial" w:eastAsia="Arial" w:hAnsi="Arial"/>
          <w:sz w:val="18"/>
          <w:szCs w:val="18"/>
          <w:b w:val="1"/>
          <w:bCs w:val="1"/>
          <w:i w:val="1"/>
          <w:iCs w:val="1"/>
          <w:color w:val="auto"/>
        </w:rPr>
        <w:t>We are a “controlled company” within the meaning of the Nasdaq rules and, as a result, will qualify for, and intend to rely on, exemptions from certain corporate governance requirements. You will not have the same protections afforded to stockholders of companies that are subject to such requirements.</w:t>
      </w:r>
    </w:p>
    <w:p>
      <w:pPr>
        <w:spacing w:after="0" w:line="76"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EagleTree controls a majority of the voting power of our outstanding common stock. As a result, we are a “controlled company” within the meaning of the corporate governance standards of the Nasdaq Global Select Market, or Nasdaq. Under these rules, a company of which more than 50% of the voting power is held by an individual, group or another company is a “controlled company” and may elect not to comply with certain corporate governance requirements, including requirements that:</w:t>
      </w:r>
    </w:p>
    <w:p>
      <w:pPr>
        <w:spacing w:after="0" w:line="79" w:lineRule="exact"/>
        <w:rPr>
          <w:sz w:val="20"/>
          <w:szCs w:val="20"/>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majority of our board of directors consist of “independent directors” as defined under the rules of Nasdaq;</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board of directors have a compensation committee that is composed entirely of independent directors with a written charter addressing the committee purpose and responsibilities; and</w:t>
      </w:r>
    </w:p>
    <w:p>
      <w:pPr>
        <w:spacing w:after="0" w:line="62" w:lineRule="exact"/>
        <w:rPr>
          <w:rFonts w:ascii="Arial" w:cs="Arial" w:eastAsia="Arial" w:hAnsi="Arial"/>
          <w:sz w:val="18"/>
          <w:szCs w:val="18"/>
          <w:color w:val="auto"/>
        </w:rPr>
      </w:pPr>
    </w:p>
    <w:p>
      <w:pPr>
        <w:jc w:val="both"/>
        <w:ind w:left="1000" w:right="800" w:hanging="493"/>
        <w:spacing w:after="0" w:line="263"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director nominations be made, or recommended to the full board of directors, by our independent directors or by a nominations committee that is composed entirely of independent directors and that we adopt a written charter or board resolution addressing the nominations process.</w:t>
      </w:r>
    </w:p>
    <w:p>
      <w:pPr>
        <w:spacing w:after="0" w:line="184"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We currently utilize certain of these exemptions. As a result, pursuant to an agreement with EagleTree, nominations for certain of our directors will be made by EagleTree based on its ownership of our outstanding voting stock. Accordingly, for so long as we are a “controlled company,” you will not have the same protections afforded to stockholders of companies that are subject to all of the corporate governance requirements of Nasdaq. In the event that we cease to be a “controlled company” and our shares continue to be listed on Nasdaq, we will be required to comply with these provisions within the applicable transition periods.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market price of our common stock may be volatile and may decline.</w:t>
      </w:r>
    </w:p>
    <w:p>
      <w:pPr>
        <w:spacing w:after="0" w:line="11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stock market in general, and the market for stocks of technology companies in particular, has been highly volatile. As a result, the market price of our common stock is likely to be volatile, and investors in our common stock may experience a decrease, which could be substantial, in the value of their common stock or the loss of their entire investment for a number of reasons, including reasons unrelated to our operating performance or prospects. The market price of our common stock could be subject to wide fluctuations in response to a broad and diverse range of factors, including those described elsewhere in this “Risk Factors” section and the following:</w:t>
      </w:r>
    </w:p>
    <w:p>
      <w:pPr>
        <w:spacing w:after="0" w:line="80" w:lineRule="exact"/>
        <w:rPr>
          <w:sz w:val="20"/>
          <w:szCs w:val="20"/>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variations in our operating performance and the performance of our competitors;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or annual operating results;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concerning us or our competitors;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publication of research reports by securities analysts about us or our competitors or our industry;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failure or the failure of our competitors to meet analysts’ estimates or guidance that we or our competitors may give to the market;</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17" w:lineRule="exact"/>
        <w:rPr>
          <w:rFonts w:ascii="Arial" w:cs="Arial" w:eastAsia="Arial" w:hAnsi="Arial"/>
          <w:sz w:val="18"/>
          <w:szCs w:val="18"/>
          <w:color w:val="auto"/>
        </w:rPr>
      </w:pPr>
    </w:p>
    <w:p>
      <w:pPr>
        <w:ind w:left="1000" w:right="24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developments of new technologies or other innovations;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passage of legislation or other regulatory developments affecting us or our industry;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outbreak of epidemics or pandemics, such as the coronavirus pandemic;</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natural disasters, terrorist acts, acts of war or periods of widespread civil unrest;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general market and economic conditions.</w:t>
      </w:r>
    </w:p>
    <w:p>
      <w:pPr>
        <w:spacing w:after="0" w:line="225"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An active, liquid and orderly market for our common stock may not be maintained</w:t>
      </w:r>
    </w:p>
    <w:p>
      <w:pPr>
        <w:spacing w:after="0" w:line="117" w:lineRule="exact"/>
        <w:rPr>
          <w:sz w:val="20"/>
          <w:szCs w:val="20"/>
          <w:color w:val="auto"/>
        </w:rPr>
      </w:pPr>
    </w:p>
    <w:p>
      <w:pPr>
        <w:ind w:right="180" w:firstLine="510"/>
        <w:spacing w:after="0" w:line="275" w:lineRule="auto"/>
        <w:rPr>
          <w:sz w:val="20"/>
          <w:szCs w:val="20"/>
          <w:color w:val="auto"/>
        </w:rPr>
      </w:pPr>
      <w:r>
        <w:rPr>
          <w:rFonts w:ascii="Arial" w:cs="Arial" w:eastAsia="Arial" w:hAnsi="Arial"/>
          <w:sz w:val="17"/>
          <w:szCs w:val="17"/>
          <w:color w:val="auto"/>
        </w:rPr>
        <w:t>Prior to our initial public offering, there had been no public market for shares of our common stock. Our stock only recently began trading on Nasdaq, but we can provide no assurance that we will be able to maintain an active trading market on Nasdaq or any other exchange in the future. If an active market for our common stock does not develop or is not maintained, it may be difficult for our stockholders to sell shares without depressing the market price for the shares or at all. An inactive market may also impair our ability to raise capital by selling shares and may impair our ability to acquire other businesses, applications, or technologies using our shares as consideration.</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our stock price to fall.</w:t>
      </w:r>
    </w:p>
    <w:p>
      <w:pPr>
        <w:spacing w:after="0" w:line="11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If our existing stockholders sell, or indicate an intention to sell, substantial amounts of our common stock in the public market after the lock-up and other legal restrictions on resale described in the related prospectus dated September 22, 2020 lapse, the trading price of our common stock could decline. Based upon the number of shares outstanding as of September 30, 2020, we had outstanding a total of 91,914,189 shares of common stock. Of these shares, all of the shares of our common stock sold in the initial public offering and in the subsequent exercise of the underwriters’ option to purchase additional shares, are freely tradable, without restriction, in the public market.</w:t>
      </w:r>
    </w:p>
    <w:p>
      <w:pPr>
        <w:spacing w:after="0" w:line="188"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The lock-up agreements pertaining to our initial public offering will expire on March 21, 2021. After the lock-up agreements expire, as of September 30, 2020 but as adjusted to account for the underwriters’ exercise of its option to purchase additional shares from EagleTree as the selling stockholder in our initial public offering, up to approximately 77.8 million additional shares of common stock will be eligible for sale in the public market, approximately 75.1 million of which shares are held by directors, executive officers and other affiliates and may be subject to Rule 144 under the U.S. Securities Act of 1933, as amended, or the Securities Act. Goldman Sachs &amp; Co. LLC may, however, in its sole discretion, permit our officers, directors, the selling stockholders and the other stockholders who are subject to these lock-up agreements to sell shares prior to the expiration of the lock-up agreements.</w:t>
      </w:r>
    </w:p>
    <w:p>
      <w:pPr>
        <w:spacing w:after="0" w:line="195"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In addition, as of September 30, 2020, approximately 10.2 million shares of common stock that are either subject to outstanding options or reserved for future issuance under our equity incentive plans became eligible for sale in the public market to the extent permitted by the provisions of various vesting schedules, the lock-up agreements and Rule 144 and Rule 701 under the Securities Act. If these additional shares of common stock are sold, or if it is perceived that they will be sold, in the public market, the trading price of our common stock could decline.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As of September 30, 2020 and after giving effect to the underwriters’ exercise of their option to purchase additional shares from EagleTree, the holders of approximately 71.3 million shares of our common stock, or approximately 77.6% of our total outstanding common stock based upon the number of shares outstanding as of September 30, 2020, will be entitled to rights with respect to the registration of their shares under the Securities Act, subject to vesting schedules and to the lock-up agreements described above.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trading price of our common stock.</w:t>
      </w:r>
    </w:p>
    <w:p>
      <w:pPr>
        <w:spacing w:after="0" w:line="286"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If we sell shares of our common stock in future financings, stockholders may experience immediate dilution and, as a result, our stock price may decline.</w:t>
      </w:r>
    </w:p>
    <w:p>
      <w:pPr>
        <w:spacing w:after="0" w:line="62" w:lineRule="exact"/>
        <w:rPr>
          <w:sz w:val="20"/>
          <w:szCs w:val="20"/>
          <w:color w:val="auto"/>
        </w:rPr>
      </w:pPr>
    </w:p>
    <w:p>
      <w:pPr>
        <w:ind w:right="260" w:firstLine="510"/>
        <w:spacing w:after="0" w:line="257" w:lineRule="auto"/>
        <w:rPr>
          <w:sz w:val="20"/>
          <w:szCs w:val="20"/>
          <w:color w:val="auto"/>
        </w:rPr>
      </w:pPr>
      <w:r>
        <w:rPr>
          <w:rFonts w:ascii="Arial" w:cs="Arial" w:eastAsia="Arial" w:hAnsi="Arial"/>
          <w:sz w:val="18"/>
          <w:szCs w:val="18"/>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296" w:lineRule="exact"/>
        <w:rPr>
          <w:sz w:val="20"/>
          <w:szCs w:val="20"/>
          <w:color w:val="auto"/>
        </w:rPr>
      </w:pPr>
    </w:p>
    <w:p>
      <w:pPr>
        <w:ind w:left="520" w:right="120"/>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and amended and restated bylaws contain antitakeover provisions that could delay, deter or prevent takeover attempts that stockholders may consider favorable or attempts to replace or remove our management that would be beneficial to our stockholders.</w:t>
      </w:r>
    </w:p>
    <w:p>
      <w:pPr>
        <w:spacing w:after="0" w:line="76"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Certain provisions of our amended and restated certificate of incorporation and amended and restated bylaws could delay, deter or prevent a change in control or other takeover of our company that our stockholders might consider to be in their best interests, including transactions that might result in a premium being paid over the market price of our common stock and also may limit the price that investors are willing to pay in the future for our common stock. These provisions may also have the effect of preventing changes in our management. For example, our amended and restated certificate of incorporation and amended and restated bylaws include anti-takeover provisions that:</w:t>
      </w:r>
    </w:p>
    <w:p>
      <w:pPr>
        <w:spacing w:after="0" w:line="80" w:lineRule="exact"/>
        <w:rPr>
          <w:sz w:val="20"/>
          <w:szCs w:val="20"/>
          <w:color w:val="auto"/>
        </w:rPr>
      </w:pPr>
    </w:p>
    <w:p>
      <w:pPr>
        <w:ind w:left="1000" w:right="80" w:hanging="493"/>
        <w:spacing w:after="0" w:line="263"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authorize our board of directors, without further action by the stockholders, to issue preferred stock in one or more series and, with respect to each series, to fix the number of shares constituting that series and to establish the rights and other terms of that series, which may include dividend and liquidation rights and preferences, conversion rights and voting rights;</w:t>
      </w:r>
    </w:p>
    <w:p>
      <w:pPr>
        <w:spacing w:after="0" w:line="75"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 that actions to be taken by our stockholders may only be taken at an annual or special meeting of our stockholders and not be taken by majority written consent when EagleTree owns less than a majority of our outstanding common stock;</w:t>
      </w:r>
    </w:p>
    <w:p>
      <w:pPr>
        <w:spacing w:after="0" w:line="62" w:lineRule="exact"/>
        <w:rPr>
          <w:rFonts w:ascii="Arial" w:cs="Arial" w:eastAsia="Arial" w:hAnsi="Arial"/>
          <w:sz w:val="18"/>
          <w:szCs w:val="18"/>
          <w:color w:val="auto"/>
        </w:rPr>
      </w:pPr>
    </w:p>
    <w:p>
      <w:pPr>
        <w:ind w:left="1000" w:right="20" w:hanging="493"/>
        <w:spacing w:after="0" w:line="263"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the Secretary at the direction of our board of directors or the Chairman of our board of directors and not by our stockholders or any other persons when EagleTree owns less than a majority of our outstanding common stock;</w:t>
      </w:r>
    </w:p>
    <w:p>
      <w:pPr>
        <w:spacing w:after="0" w:line="75" w:lineRule="exact"/>
        <w:rPr>
          <w:rFonts w:ascii="Arial" w:cs="Arial" w:eastAsia="Arial" w:hAnsi="Arial"/>
          <w:sz w:val="18"/>
          <w:szCs w:val="18"/>
          <w:color w:val="auto"/>
        </w:rPr>
      </w:pPr>
    </w:p>
    <w:p>
      <w:pPr>
        <w:ind w:left="1000" w:right="400" w:hanging="493"/>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 advance notice procedures for stockholders to submit nominations of candidates for election to our board of directors and other proposals to be brought before a stockholders meeting;</w:t>
      </w:r>
    </w:p>
    <w:p>
      <w:pPr>
        <w:spacing w:after="0" w:line="62" w:lineRule="exact"/>
        <w:rPr>
          <w:rFonts w:ascii="Arial" w:cs="Arial" w:eastAsia="Arial" w:hAnsi="Arial"/>
          <w:sz w:val="18"/>
          <w:szCs w:val="18"/>
          <w:color w:val="auto"/>
        </w:rPr>
      </w:pPr>
    </w:p>
    <w:p>
      <w:pPr>
        <w:ind w:left="1000" w:right="280" w:hanging="493"/>
        <w:spacing w:after="0" w:line="263"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that directors may be removed only for cause and only by the affirmative vote of at least 66-2/3% in voting power of the then-outstanding shares of capital stock of our company when EagleTree owns less than 50% in voting power of our stock entitled to vote at an election of directors;</w:t>
      </w:r>
    </w:p>
    <w:p>
      <w:pPr>
        <w:spacing w:after="0" w:line="75" w:lineRule="exact"/>
        <w:rPr>
          <w:rFonts w:ascii="Arial" w:cs="Arial" w:eastAsia="Arial" w:hAnsi="Arial"/>
          <w:sz w:val="18"/>
          <w:szCs w:val="18"/>
          <w:color w:val="auto"/>
        </w:rPr>
      </w:pPr>
    </w:p>
    <w:p>
      <w:pPr>
        <w:ind w:left="1000" w:right="240" w:hanging="493"/>
        <w:spacing w:after="0" w:line="342" w:lineRule="auto"/>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provide for the sole power of the board of directors, or EagleTree in the case of a vacancy of one of their respective board designees, to fill any vacancy on the board of directors, whether such vacancy occurs as a result of an increase in the number of directors or otherwise;</w:t>
      </w:r>
    </w:p>
    <w:p>
      <w:pPr>
        <w:spacing w:after="0" w:line="15" w:lineRule="exact"/>
        <w:rPr>
          <w:rFonts w:ascii="Arial" w:cs="Arial" w:eastAsia="Arial" w:hAnsi="Arial"/>
          <w:sz w:val="16"/>
          <w:szCs w:val="16"/>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divide our board of directors into three classes, serving staggered terms of three years each;</w:t>
      </w:r>
    </w:p>
    <w:p>
      <w:pPr>
        <w:spacing w:after="0" w:line="117"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do not give the holders of our common stock cumulative voting rights with respect to the election of directors, which means that the holders of a majority of our outstanding shares of common stock can elect all directors standing for election;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1000" w:right="200" w:hanging="493"/>
        <w:spacing w:after="0" w:line="263"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 the affirmative vote by the holders of at least two-thirds of the combined voting power of all shares of our outstanding capital stock entitled to vote generally in the election of our directors (voting as a single class) in order to amend certain provisions of our certificate of incorporation or bylaws, including those provisions changing the size of the</w:t>
      </w:r>
    </w:p>
    <w:p>
      <w:pPr>
        <w:spacing w:after="0" w:line="75"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board of directors, the removal of certain directors, the availability of action by majority written consent of the stockholders or the restriction on business combinations with interested stockholders, among others; and</w:t>
      </w:r>
    </w:p>
    <w:p>
      <w:pPr>
        <w:spacing w:after="0" w:line="62" w:lineRule="exact"/>
        <w:rPr>
          <w:rFonts w:ascii="Arial" w:cs="Arial" w:eastAsia="Arial" w:hAnsi="Arial"/>
          <w:sz w:val="18"/>
          <w:szCs w:val="18"/>
          <w:color w:val="auto"/>
        </w:rPr>
      </w:pPr>
    </w:p>
    <w:p>
      <w:pPr>
        <w:jc w:val="both"/>
        <w:ind w:left="1000" w:hanging="493"/>
        <w:spacing w:after="0" w:line="311" w:lineRule="auto"/>
        <w:tabs>
          <w:tab w:leader="none" w:pos="10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when EagleTree owns less than a majority of our outstanding common stock, require the affirmative vote by the holders of at least two-thirds of the combined voting power of all shares of our outstanding capital stock entitled to vote generally in the election of our directors (voting as a single class) for any amendment, alteration, change, addition, rescission or repeal of our amended and restated certificate of incorporation.</w:t>
      </w:r>
    </w:p>
    <w:p>
      <w:pPr>
        <w:spacing w:after="0" w:line="149"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We have opted out of Section 203 of the Delaware General Corporation Law, or DGCL, which prevents stockholders holding more than 15% of our outstanding common stock from engaging in certain business combinations involving us unless certain conditions are satisfied. However, our amended and restated certificate of incorporation will include similar provisions that we may not engage in certain business combinations with interested stockholders for a period of three years following the time that the stockholder became an interested stockholder, subject to certain conditions. Pursuant to the terms of our amended and restated certificate of incorporation, EagleTree will not be considered an interested stockholder for purposes of this provision.</w:t>
      </w:r>
    </w:p>
    <w:p>
      <w:pPr>
        <w:spacing w:after="0" w:line="269" w:lineRule="exact"/>
        <w:rPr>
          <w:sz w:val="20"/>
          <w:szCs w:val="20"/>
          <w:color w:val="auto"/>
        </w:rPr>
      </w:pPr>
    </w:p>
    <w:p>
      <w:pPr>
        <w:ind w:left="520" w:right="180"/>
        <w:spacing w:after="0" w:line="277"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62"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170"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In addition, as permitted by Section 145 of the DGCL, our amended and restated bylaws and our indemnification agreements that we have entered into with our directors and officers provide that:</w:t>
      </w:r>
    </w:p>
    <w:p>
      <w:pPr>
        <w:spacing w:after="0" w:line="62" w:lineRule="exact"/>
        <w:rPr>
          <w:sz w:val="20"/>
          <w:szCs w:val="20"/>
          <w:color w:val="auto"/>
        </w:rPr>
      </w:pPr>
    </w:p>
    <w:p>
      <w:pPr>
        <w:ind w:left="1000" w:right="120" w:hanging="493"/>
        <w:spacing w:after="0" w:line="279" w:lineRule="auto"/>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63" w:lineRule="exact"/>
        <w:rPr>
          <w:rFonts w:ascii="Arial" w:cs="Arial" w:eastAsia="Arial" w:hAnsi="Arial"/>
          <w:sz w:val="17"/>
          <w:szCs w:val="17"/>
          <w:color w:val="auto"/>
        </w:rPr>
      </w:pPr>
    </w:p>
    <w:p>
      <w:pPr>
        <w:ind w:left="1000" w:hanging="493"/>
        <w:spacing w:after="0"/>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may, in our discretion, indemnify employees and agents in those circumstances where indemnification is permitted by applicable law;</w:t>
      </w:r>
    </w:p>
    <w:p>
      <w:pPr>
        <w:spacing w:after="0" w:line="140" w:lineRule="exact"/>
        <w:rPr>
          <w:rFonts w:ascii="Arial" w:cs="Arial" w:eastAsia="Arial" w:hAnsi="Arial"/>
          <w:sz w:val="16"/>
          <w:szCs w:val="16"/>
          <w:color w:val="auto"/>
        </w:rPr>
      </w:pPr>
    </w:p>
    <w:p>
      <w:pPr>
        <w:jc w:val="both"/>
        <w:ind w:left="1000" w:right="200" w:hanging="493"/>
        <w:spacing w:after="0" w:line="342" w:lineRule="auto"/>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5" w:lineRule="exact"/>
        <w:rPr>
          <w:rFonts w:ascii="Arial" w:cs="Arial" w:eastAsia="Arial" w:hAnsi="Arial"/>
          <w:sz w:val="16"/>
          <w:szCs w:val="16"/>
          <w:color w:val="auto"/>
        </w:rPr>
      </w:pPr>
    </w:p>
    <w:p>
      <w:pPr>
        <w:ind w:left="1000" w:right="260" w:hanging="493"/>
        <w:spacing w:after="0" w:line="263"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75" w:lineRule="exact"/>
        <w:rPr>
          <w:rFonts w:ascii="Arial" w:cs="Arial" w:eastAsia="Arial" w:hAnsi="Arial"/>
          <w:sz w:val="18"/>
          <w:szCs w:val="18"/>
          <w:color w:val="auto"/>
        </w:rPr>
      </w:pPr>
    </w:p>
    <w:p>
      <w:pPr>
        <w:ind w:left="1000" w:right="280" w:hanging="493"/>
        <w:spacing w:after="0" w:line="308" w:lineRule="auto"/>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38" w:lineRule="exact"/>
        <w:rPr>
          <w:rFonts w:ascii="Arial" w:cs="Arial" w:eastAsia="Arial" w:hAnsi="Arial"/>
          <w:sz w:val="17"/>
          <w:szCs w:val="17"/>
          <w:color w:val="auto"/>
        </w:rPr>
      </w:pPr>
    </w:p>
    <w:p>
      <w:pPr>
        <w:ind w:left="1000" w:right="16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278" w:lineRule="exact"/>
        <w:rPr>
          <w:sz w:val="20"/>
          <w:szCs w:val="20"/>
          <w:color w:val="auto"/>
        </w:rPr>
      </w:pPr>
    </w:p>
    <w:p>
      <w:pPr>
        <w:ind w:left="520" w:right="260"/>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in the price of our common stock.</w:t>
      </w:r>
    </w:p>
    <w:p>
      <w:pPr>
        <w:spacing w:after="0" w:line="62" w:lineRule="exact"/>
        <w:rPr>
          <w:sz w:val="20"/>
          <w:szCs w:val="20"/>
          <w:color w:val="auto"/>
        </w:rPr>
      </w:pPr>
    </w:p>
    <w:p>
      <w:pPr>
        <w:ind w:right="140" w:firstLine="510"/>
        <w:spacing w:after="0" w:line="301" w:lineRule="auto"/>
        <w:rPr>
          <w:sz w:val="20"/>
          <w:szCs w:val="20"/>
          <w:color w:val="auto"/>
        </w:rPr>
      </w:pPr>
      <w:r>
        <w:rPr>
          <w:rFonts w:ascii="Arial" w:cs="Arial" w:eastAsia="Arial" w:hAnsi="Arial"/>
          <w:sz w:val="16"/>
          <w:szCs w:val="16"/>
          <w:color w:val="auto"/>
        </w:rPr>
        <w:t>We do not currently intend to pay any cash dividends on our common stock for the foreseeable future. We currently intend to invest our future earnings, if any, to fund our growth. Therefore, you are not likely to receive any dividends on your common stock for the foreseeable future. Since we do not intend to pay dividends, your ability to receive a return on your investment will depend on any future appreciation in the market value of our common stock. There is no guarantee that our common stock will appreciate or even maintain the price at which our holders have purchased it.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520" w:right="200"/>
        <w:spacing w:after="0" w:line="263" w:lineRule="auto"/>
        <w:rPr>
          <w:sz w:val="20"/>
          <w:szCs w:val="20"/>
          <w:color w:val="auto"/>
        </w:rPr>
      </w:pPr>
      <w:r>
        <w:rPr>
          <w:rFonts w:ascii="Arial" w:cs="Arial" w:eastAsia="Arial" w:hAnsi="Arial"/>
          <w:sz w:val="18"/>
          <w:szCs w:val="18"/>
          <w:b w:val="1"/>
          <w:bCs w:val="1"/>
          <w:i w:val="1"/>
          <w:iCs w:val="1"/>
          <w:color w:val="auto"/>
        </w:rPr>
        <w:t>If securities or industry analysts do not publish or cease publishing research or reports about our business, if they adversely change their recommendations regarding our shares or if our operating results do not meet their expectations, the market price of our common stock could decline.</w:t>
      </w:r>
    </w:p>
    <w:p>
      <w:pPr>
        <w:spacing w:after="0" w:line="76"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The market price of our common stock is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the market price or trading volume of our common stock to decline. Moreover, if one or more of the analysts who cover our company downgrade our common stock or if our operating results or prospects do not meet their expectations, the market price of our common stock could decline.</w:t>
      </w:r>
    </w:p>
    <w:p>
      <w:pPr>
        <w:spacing w:after="0" w:line="296" w:lineRule="exact"/>
        <w:rPr>
          <w:sz w:val="20"/>
          <w:szCs w:val="20"/>
          <w:color w:val="auto"/>
        </w:rPr>
      </w:pPr>
    </w:p>
    <w:p>
      <w:pPr>
        <w:ind w:left="520" w:right="120"/>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will be the sole and exclusive forum for substantially all disputes between us and our stockholders, which could limit our stockholders’ ability to obtain a favorable judicial forum for disputes with us or our directors, officers or employees.</w:t>
      </w:r>
    </w:p>
    <w:p>
      <w:pPr>
        <w:spacing w:after="0" w:line="76"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alternative forum, the Court of Chancery of the State of Delaware is the sole and exclusive forum for: (a) any derivative action or proceeding brought on our behalf; (b) any action asserting a claim of breach of a fiduciary duty owed by any of our directors, officers, employees or agents to us or our stockholders; (c) any action asserting a claim arising pursuant to any provision of the DGCL or of our amended and restated certificate of incorporation or our amended and restated bylaws; or</w:t>
      </w:r>
    </w:p>
    <w:p>
      <w:pPr>
        <w:spacing w:after="0" w:line="1" w:lineRule="exact"/>
        <w:rPr>
          <w:sz w:val="20"/>
          <w:szCs w:val="20"/>
          <w:color w:val="auto"/>
        </w:rPr>
      </w:pPr>
    </w:p>
    <w:p>
      <w:pPr>
        <w:ind w:right="40" w:firstLine="8"/>
        <w:spacing w:after="0" w:line="268" w:lineRule="auto"/>
        <w:tabs>
          <w:tab w:leader="none" w:pos="255"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any action asserting a claim related to or involving our company that is governed by the internal affairs doctrine. Our amended and restated certificate of incorporation also provides that the federal district courts of the Unites States will be the exclusive forum for the resolution of any complaint asserting a cause of action against us or any of our directors, officers, employees or agents and arising under the Securities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seriously harm our business. The choice of forum provision requiring that the Court of Chancery of the State of Delaware be the exclusive forum for certain actions would not apply to suits brought to enforce any liability or duty created by the Exchange Act.</w:t>
      </w:r>
    </w:p>
    <w:p>
      <w:pPr>
        <w:spacing w:after="0" w:line="289" w:lineRule="exact"/>
        <w:rPr>
          <w:sz w:val="20"/>
          <w:szCs w:val="20"/>
          <w:color w:val="auto"/>
        </w:rPr>
      </w:pPr>
    </w:p>
    <w:p>
      <w:pPr>
        <w:ind w:left="520" w:right="640"/>
        <w:spacing w:after="0" w:line="277" w:lineRule="auto"/>
        <w:rPr>
          <w:sz w:val="20"/>
          <w:szCs w:val="20"/>
          <w:color w:val="auto"/>
        </w:rPr>
      </w:pPr>
      <w:r>
        <w:rPr>
          <w:rFonts w:ascii="Arial" w:cs="Arial" w:eastAsia="Arial" w:hAnsi="Arial"/>
          <w:sz w:val="18"/>
          <w:szCs w:val="18"/>
          <w:b w:val="1"/>
          <w:bCs w:val="1"/>
          <w:i w:val="1"/>
          <w:iCs w:val="1"/>
          <w:color w:val="auto"/>
        </w:rPr>
        <w:t>Our amended and restated certificate of incorporation contains a provision renouncing our interest and expectancy in certain corporate opportunities.</w:t>
      </w:r>
    </w:p>
    <w:p>
      <w:pPr>
        <w:spacing w:after="0" w:line="62"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Under our amended and restated certificate of incorporation, none of EagleTree or any of its respective portfolio companies, funds or other affiliates, or any of their officers, directors, agents, stockholders, members or partners will have any duty to refrain from engaging, directly or indirectly, in the same business activities, similar business activities or lines of business in which we operate. In addition, our amended and restated certificate of incorporation provides that, to the fullest extent permitted by law, no officer or director of ours who is also an officer, director, employee, managing director or other affiliate of EagleTree will be liable to us or our stockholders for breach of any fiduciary duty by reason of the fact that any such individual was presented with a corporate opportunity, other than specifically in their capacity as one of our officers or directors, and ultimately directs such corporate opportunity to EagleTree instead of us, or does not communicate information regarding a corporate opportunity to us that the officer, director, employee, managing director or other affiliate has directed to EagleTree. For instance, a director of our company who also serves as a director, officer or employee of EagleTree, or any of its respective portfolio companies, funds or other affiliates may pursue certain acquisitions or other opportunities that may be complementary to our business and, as a result, such acquisition or other opportunities may not be available to us. As of September 30, 2020, this provision of our amended and restated certificate of incorporation relates only to the EagleTree director designees. These potential conflicts of interest could seriously harm our business if attractive corporate opportunities are allocated by EagleTree to itself or its respective portfolio companies, funds or other affiliates instead of to us.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may be subject to future tax audits in various jurisdictions, which may seriously harm our business.</w:t>
      </w:r>
    </w:p>
    <w:p>
      <w:pPr>
        <w:spacing w:after="0" w:line="131"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We operate in multiple jurisdictions, are taxed pursuant to the tax laws of each of these jurisdictions and may be subject to future tax audits in each of these jurisdictions. Because we have substantial operations in a number of locations worldwide, tax authorities in various jurisdictions may raise questions concerning matters such as transfer pricing, whether revenues or expenses should be attributed to particular countries, the presence or absence of permanent establishments in particular countries and similar matters. In addition, we have engaged in a number of material restructuring transactions in various jurisdictions, including in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Acquisition Transaction, and the tax positions we have adopted in connection with these restructuring transactions may be subject to challenge. While we have contractual rights to indemnification in respect of certain taxable periods ending on or before the date of the Acquisition Transaction, such indemnity protection does not address all potential tax risks that may arise from such taxable periods, and we cannot assure you that we would be successful in collecting on an indemnification claim if such tax matters were to arise. Accordingly, a material assessment by a tax authority in any jurisdiction could require that we make significant cash payments without reimbursement. If this were to occur, our business may be seriously harmed.</w:t>
      </w:r>
    </w:p>
    <w:p>
      <w:pPr>
        <w:spacing w:after="0" w:line="31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Failure to comply with other laws and governmental regulations may seriously harm our business.</w:t>
      </w:r>
    </w:p>
    <w:p>
      <w:pPr>
        <w:spacing w:after="0" w:line="131"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Our business is subject to regulation by various federal and state governmental agencies. Such regulation includes the consumer protection laws of the Federal Trade Commission, the import/export regulatory activities of the Department of Commerce, the product safety regulatory activities of the Consumer Products Safety Commission, the regulatory activities of the Occupational Safety and Health Administration, the environmental regulatory activities of the Environmental Protection Agency, the labor regulatory activities of the Equal Employment Opportunity Commission and tax and other regulations by a variety of regulatory authorities in each of the areas in which we conduct business. We are also subject to regulation in other countries where we conduct business. In certain jurisdictions, such regulatory requirements may be more stringent than in the United States. We are also subject to a variety of federal, state and foreign employment and labor laws and regulations, including the Americans with Disabilities Act, the Federal Fair Labor Standards Act and other laws and regulations related to working conditions, wage-hour pay, overtime pay, employee benefits, anti-discrimination and termination of employment.</w:t>
      </w:r>
    </w:p>
    <w:p>
      <w:pPr>
        <w:spacing w:after="0" w:line="208"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Noncompliance with applicable regulations or requirements could subject us to investigations, sanctions, mandatory product recalls, enforcement actions, fines, damages, civil and criminal penalties or injunctions. In certain of these instances the former employee has brought legal proceedings against us, and we expect that we will encounter similar actions against us in the future. An adverse outcome in any such litigation could require us to pay damages, which may include punitive damages, attorneys’ fees and costs.</w:t>
      </w:r>
    </w:p>
    <w:p>
      <w:pPr>
        <w:spacing w:after="0" w:line="227" w:lineRule="exact"/>
        <w:rPr>
          <w:sz w:val="20"/>
          <w:szCs w:val="20"/>
          <w:color w:val="auto"/>
        </w:rPr>
      </w:pPr>
    </w:p>
    <w:p>
      <w:pPr>
        <w:ind w:right="620" w:firstLine="510"/>
        <w:spacing w:after="0" w:line="308" w:lineRule="auto"/>
        <w:rPr>
          <w:sz w:val="20"/>
          <w:szCs w:val="20"/>
          <w:color w:val="auto"/>
        </w:rPr>
      </w:pPr>
      <w:r>
        <w:rPr>
          <w:rFonts w:ascii="Arial" w:cs="Arial" w:eastAsia="Arial" w:hAnsi="Arial"/>
          <w:sz w:val="17"/>
          <w:szCs w:val="17"/>
          <w:color w:val="auto"/>
        </w:rPr>
        <w:t>As a result, noncompliance or any related enforcement or civil actions could result in governmental sanctions and possible civil or criminal litigation, which could seriously harm our business and result in a significant diversion of management’s attention and resources.</w:t>
      </w:r>
    </w:p>
    <w:p>
      <w:pPr>
        <w:spacing w:after="0" w:line="295" w:lineRule="exact"/>
        <w:rPr>
          <w:sz w:val="20"/>
          <w:szCs w:val="20"/>
          <w:color w:val="auto"/>
        </w:rPr>
      </w:pPr>
    </w:p>
    <w:p>
      <w:pPr>
        <w:ind w:right="320" w:firstLine="510"/>
        <w:spacing w:after="0" w:line="308" w:lineRule="auto"/>
        <w:rPr>
          <w:sz w:val="20"/>
          <w:szCs w:val="20"/>
          <w:color w:val="auto"/>
        </w:rPr>
      </w:pPr>
      <w:r>
        <w:rPr>
          <w:rFonts w:ascii="Arial" w:cs="Arial" w:eastAsia="Arial" w:hAnsi="Arial"/>
          <w:sz w:val="17"/>
          <w:szCs w:val="17"/>
          <w:b w:val="1"/>
          <w:bCs w:val="1"/>
          <w:i w:val="1"/>
          <w:iCs w:val="1"/>
          <w:color w:val="auto"/>
        </w:rPr>
        <w:t>Failure to comply with the U.S. Foreign Corrupt Practices Act, other applicable anti-corruption and anti-bribery laws, and applicable trade control laws could subject us to penalties and other adverse consequences that may seriously harm our business.</w:t>
      </w:r>
    </w:p>
    <w:p>
      <w:pPr>
        <w:spacing w:after="0" w:line="52"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Our gear is manufactured and/or assembled in China, Taiwan, where we maintain a manufacturing facility, countries in Southeast Asia and the United Kingdom and we sell our gear in many countries outside of the United States. Our operations are subject to the U.S. Foreign Corrupt Practices Act, or the FCPA, as well as the anti-corruption and anti-bribery laws in the countries where we do business. The FCPA prohibits covered parties from offering, promising, authorizing or giving anything of value, directly or indirectly, to a “foreign government official” with the intent of improperly influencing the official’s act or decision, inducing the official to act or refrain from acting in violation of lawful duty, or obtaining or retaining an improper business advantage. The FCPA also requires publicly traded companies to maintain records that accurately and fairly represent their transactions and to have an adequate system of internal accounting controls. In addition, other applicable anti-corruption laws prohibit bribery of domestic government officials, and some laws that may apply to our operations prohibit commercial bribery, including giving or receiving improper payments to or from non-government parties, as well as so-called “facilitation” payments. In addition, we are subject to U.S. and other applicable trade control regulations that restrict with whom we may transact business, including the trade sanctions enforced by the U.S. Treasury, Office of Foreign Assets Control, or OFAC.</w:t>
      </w:r>
    </w:p>
    <w:p>
      <w:pPr>
        <w:spacing w:after="0" w:line="195"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While we have implemented policies, internal controls and other measures reasonably designed to promote compliance with applicable anti-corruption and anti-bribery laws and regulations, and certain safeguards designed to ensure compliance with U.S. trade control laws, our employees or agents may engage in improper conduct for which we might be held responsible. Any violations of these anti-corruption or trade controls laws, or even allegations of such violations, can lead to an investigation and/or enforcement action, which could disrupt our operations, involve significant management distraction, and lead to significant costs and expenses, including legal fees. If we, or our employees or agents acting on our behalf, are found to have engaged in practices that violate these laws and regulations, we could suffer severe fines and penalties, profit disgorgement, injunctions on future conduct, securities litigation, bans on transacting government business, delisting from securities exchanges and other consequences that may seriously harm our business, financial condition and results of operations. In addition, our brand and reputation, our sales activities or our stock price could be adversely affected if we become the subject of any negative publicity related to actual or potential violations of anti-corruption, anti-bribery or trade control laws and regulations.</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9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We will incur significant expenses as a result of being a public company, which will negatively impact our financial performance.</w:t>
      </w:r>
    </w:p>
    <w:p>
      <w:pPr>
        <w:spacing w:after="0" w:line="142"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As a public company, we incur significant legal, accounting and other expenses that we did not incur as a private company. We are subject to the reporting requirements of the U.S. Exchange Act of 1934, as amended, or the Exchange Act, which will require, among other things, that we file with the SEC annual, quarterly and current reports with respect to our business and financial condition. In addition, the Sarbanes-Oxley Act, as well as rules subsequently adopted by the SEC and the stock exchange on which our securities are listed to implement provisions of the Sarbanes-Oxley Act, impose significant requirements on public companies, including requiring establishment and maintenance of effective disclosure and financial controls and changes in corporate governance practices. Further, pursuant to the Dodd-Frank Wall Street Reform and Consumer Protection Act of 2010, or the Dodd-Frank Act, the SEC has adopted additional rules and regulations in these areas, such as mandatory “say-on-pay” voting requirements.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212"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The rules and regulations applicable to public companies have substantially increased our legal and financial compliance costs. If these requirements divert the attention of our management and personnel from other business concerns, they could seriously harm our business, financial condition and results of operations. The increased costs will decrease our net income or increase our net loss, and may require us to reduce costs in other areas of our business or increase the prices of our gear.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Furthermore, if we are unable to satisfy our obligations as a public company, we could be subject to delisting of our common stock, fines, sanctions and other regulatory action and potentially civil litigation.</w:t>
      </w:r>
    </w:p>
    <w:p>
      <w:pPr>
        <w:spacing w:after="0" w:line="221" w:lineRule="exact"/>
        <w:rPr>
          <w:sz w:val="20"/>
          <w:szCs w:val="20"/>
          <w:color w:val="auto"/>
        </w:rPr>
      </w:pPr>
    </w:p>
    <w:p>
      <w:pPr>
        <w:jc w:val="both"/>
        <w:ind w:right="420" w:firstLine="510"/>
        <w:spacing w:after="0" w:line="279" w:lineRule="auto"/>
        <w:rPr>
          <w:sz w:val="20"/>
          <w:szCs w:val="20"/>
          <w:color w:val="auto"/>
        </w:rPr>
      </w:pPr>
      <w:r>
        <w:rPr>
          <w:rFonts w:ascii="Arial" w:cs="Arial" w:eastAsia="Arial" w:hAnsi="Arial"/>
          <w:sz w:val="17"/>
          <w:szCs w:val="17"/>
          <w:b w:val="1"/>
          <w:bCs w:val="1"/>
          <w:i w:val="1"/>
          <w:iCs w:val="1"/>
          <w:color w:val="auto"/>
        </w:rPr>
        <w:t>As a public reporting company, we are subject to rules and regulations established from time to time by the SEC and Nasdaq regarding our internal controls over financial reporting. We may not complete needed improvements to our internal controls over financial reporting in a timely manner, or these internal controls may not be determined to be effective, which may adversely affect investor confidence in our company and, as a result, the value of our common stock and your investment.</w:t>
      </w:r>
    </w:p>
    <w:p>
      <w:pPr>
        <w:spacing w:after="0" w:line="171"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We are subject to the rules and regulations established from time to time by the Securities and Exchange Commission, or SEC, and Nasdaq. These rules and regulations require, among other things, that we establish and periodically evaluate procedures with respect to our internal controls over financial reporting. Reporting obligations as a public company place a considerable strain on our financial and management systems, processes and controls, as well as on our personnel. In addition, as a public company we are required to document and test our internal controls over financial reporting pursuant to Section 404 of the Sarbanes-Oxley Act so that our management can certify as to the effectiveness of our internal controls over financial reporting by the time our annual report for the year ending December 31, 2021 is due and thereafter, which will require us to document and make significant changes to our internal controls over financial reporting. Likewise, our independent registered public accounting firm will be required to provide an attestation report on the effectiveness of our internal controls over financial reporting in our Annual Report on Form 10-K to be filed in 2022. As a result, we will be required to improve our financial and managerial controls, reporting systems and procedures, to incur substantial expenses to test our systems to make such improvements and to hire additional personnel. If our management is unable to certify the effectiveness of our internal controls or if our independent registered public accounting firm cannot deliver a report attesting to the effectiveness of our internal controls over financial reporting, or if we identify or fail to remediate material weaknesses in our internal controls such as those described more fully below, we could be subject to regulatory scrutiny and a loss of public confidence, which could seriously harm our reputation and the market price of our common stock. In addition, if we do not maintain adequate financial and management personnel, processes and controls, we may not be able to manage our business effectively or accurately report our financial performance on a timely basis, which could cause a decline in our common stock price and may seriously harm our business.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From July 1, 2020 through September 30, 2020, we sold and issued the following unregistered securities:</w:t>
      </w:r>
    </w:p>
    <w:p>
      <w:pPr>
        <w:spacing w:after="0" w:line="131" w:lineRule="exact"/>
        <w:rPr>
          <w:sz w:val="20"/>
          <w:szCs w:val="20"/>
          <w:color w:val="auto"/>
        </w:rPr>
      </w:pPr>
    </w:p>
    <w:p>
      <w:pPr>
        <w:ind w:left="1000" w:right="14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sold an aggregate of 56,000 shares of common stock to employees for cash consideration in the aggregate amount of $259,000 upon the exercise of stock options.</w:t>
      </w:r>
    </w:p>
    <w:p>
      <w:pPr>
        <w:spacing w:after="0" w:line="211"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and the Registrant believes each transaction was exempt from the registration requirements of the Securities Act as stated above.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35" w:lineRule="exact"/>
        <w:rPr>
          <w:sz w:val="20"/>
          <w:szCs w:val="20"/>
          <w:color w:val="auto"/>
        </w:rPr>
      </w:pPr>
    </w:p>
    <w:p>
      <w:pPr>
        <w:ind w:right="300" w:firstLine="510"/>
        <w:spacing w:after="0" w:line="342" w:lineRule="auto"/>
        <w:rPr>
          <w:sz w:val="20"/>
          <w:szCs w:val="20"/>
          <w:color w:val="auto"/>
        </w:rPr>
      </w:pPr>
      <w:r>
        <w:rPr>
          <w:rFonts w:ascii="Arial" w:cs="Arial" w:eastAsia="Arial" w:hAnsi="Arial"/>
          <w:sz w:val="16"/>
          <w:szCs w:val="16"/>
          <w:color w:val="auto"/>
        </w:rPr>
        <w:t xml:space="preserve">On September 22, 2020, the U.S. Securities and Exchange Commission declared effective our registration statement on Form S-1 (File No. 333-248247), as amended, filed in connection with our initial public offering. On September 25, 2020, we completed our initial public offering </w:t>
      </w:r>
      <w:r>
        <w:rPr>
          <w:rFonts w:ascii="Arial" w:cs="Arial" w:eastAsia="Arial" w:hAnsi="Arial"/>
          <w:sz w:val="16"/>
          <w:szCs w:val="16"/>
          <w:i w:val="1"/>
          <w:iCs w:val="1"/>
          <w:color w:val="auto"/>
        </w:rPr>
        <w:t>(“IPO”)</w:t>
      </w:r>
      <w:r>
        <w:rPr>
          <w:rFonts w:ascii="Arial" w:cs="Arial" w:eastAsia="Arial" w:hAnsi="Arial"/>
          <w:sz w:val="16"/>
          <w:szCs w:val="16"/>
          <w:color w:val="auto"/>
        </w:rPr>
        <w:t>.</w:t>
      </w:r>
    </w:p>
    <w:p>
      <w:pPr>
        <w:spacing w:after="0" w:line="164"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In connection with the IPO, we sold 7,500,000 shares of common stock at $17.00 per share, resulting in proceeds of $118.6 million, net of the underwriting discounts and commissions and before offering costs. In connection with the IPO, certain stockholders sold 6,500,000 shares of common stock at $17.00 per share. Subsequent to the IPO, certain stockholders further sold 1,135,375 shares pursuant to the underwriters’ exercise of their option to purchase additional shares. We did not receive any of the proceeds from the sale of shares by the selling stockholders.</w:t>
      </w:r>
    </w:p>
    <w:p>
      <w:pPr>
        <w:spacing w:after="0" w:line="171" w:lineRule="exact"/>
        <w:rPr>
          <w:sz w:val="20"/>
          <w:szCs w:val="20"/>
          <w:color w:val="auto"/>
        </w:rPr>
      </w:pPr>
    </w:p>
    <w:p>
      <w:pPr>
        <w:ind w:right="140" w:firstLine="510"/>
        <w:spacing w:after="0" w:line="286" w:lineRule="auto"/>
        <w:rPr>
          <w:sz w:val="20"/>
          <w:szCs w:val="20"/>
          <w:color w:val="auto"/>
        </w:rPr>
      </w:pPr>
      <w:r>
        <w:rPr>
          <w:rFonts w:ascii="Arial" w:cs="Arial" w:eastAsia="Arial" w:hAnsi="Arial"/>
          <w:sz w:val="17"/>
          <w:szCs w:val="17"/>
          <w:color w:val="auto"/>
        </w:rPr>
        <w:t>Goldman Sachs &amp; Co. LLC, Barclays Capital Inc. and Credit Suisse Securities (USA) LLC acted as representatives of the underwriters for our initial public offering. There has been no material change in the planned use of proceeds from our initial public offering from that described in the related prospectus dated September 22, 2020, filed with the SEC pursuant to Rule 424(b)(4) under the Securities Act of 1933, as amended.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1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40" w:type="dxa"/>
            <w:vAlign w:val="bottom"/>
            <w:gridSpan w:val="2"/>
          </w:tcPr>
          <w:p>
            <w:pPr>
              <w:jc w:val="center"/>
              <w:ind w:right="591"/>
              <w:spacing w:after="0"/>
              <w:rPr>
                <w:sz w:val="20"/>
                <w:szCs w:val="20"/>
                <w:color w:val="auto"/>
              </w:rPr>
            </w:pPr>
            <w:r>
              <w:rPr>
                <w:rFonts w:ascii="Arial" w:cs="Arial" w:eastAsia="Arial" w:hAnsi="Arial"/>
                <w:sz w:val="14"/>
                <w:szCs w:val="14"/>
                <w:b w:val="1"/>
                <w:bCs w:val="1"/>
                <w:color w:val="auto"/>
                <w:w w:val="94"/>
              </w:rPr>
              <w:t>Incorporated by</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60" w:type="dxa"/>
            <w:vAlign w:val="bottom"/>
            <w:vMerge w:val="restart"/>
          </w:tcPr>
          <w:p>
            <w:pPr>
              <w:jc w:val="center"/>
              <w:ind w:right="91"/>
              <w:spacing w:after="0"/>
              <w:rPr>
                <w:sz w:val="20"/>
                <w:szCs w:val="20"/>
                <w:color w:val="auto"/>
              </w:rPr>
            </w:pPr>
            <w:r>
              <w:rPr>
                <w:rFonts w:ascii="Arial" w:cs="Arial" w:eastAsia="Arial" w:hAnsi="Arial"/>
                <w:sz w:val="14"/>
                <w:szCs w:val="14"/>
                <w:b w:val="1"/>
                <w:bCs w:val="1"/>
                <w:color w:val="auto"/>
                <w:w w:val="94"/>
              </w:rPr>
              <w:t>Exhibit</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left="233"/>
              <w:spacing w:after="0"/>
              <w:rPr>
                <w:sz w:val="20"/>
                <w:szCs w:val="20"/>
                <w:color w:val="auto"/>
              </w:rPr>
            </w:pPr>
            <w:r>
              <w:rPr>
                <w:rFonts w:ascii="Arial" w:cs="Arial" w:eastAsia="Arial" w:hAnsi="Arial"/>
                <w:sz w:val="14"/>
                <w:szCs w:val="14"/>
                <w:b w:val="1"/>
                <w:bCs w:val="1"/>
                <w:color w:val="auto"/>
                <w:w w:val="91"/>
              </w:rPr>
              <w:t>Reference</w:t>
            </w:r>
          </w:p>
        </w:tc>
        <w:tc>
          <w:tcPr>
            <w:tcW w:w="1020" w:type="dxa"/>
            <w:vAlign w:val="bottom"/>
            <w:tcBorders>
              <w:bottom w:val="single" w:sz="8" w:color="auto"/>
            </w:tcBorders>
          </w:tcPr>
          <w:p>
            <w:pPr>
              <w:spacing w:after="0"/>
              <w:rPr>
                <w:sz w:val="14"/>
                <w:szCs w:val="14"/>
                <w:color w:val="auto"/>
              </w:rPr>
            </w:pPr>
          </w:p>
        </w:tc>
        <w:tc>
          <w:tcPr>
            <w:tcW w:w="740" w:type="dxa"/>
            <w:vAlign w:val="bottom"/>
            <w:vMerge w:val="restart"/>
          </w:tcPr>
          <w:p>
            <w:pPr>
              <w:jc w:val="center"/>
              <w:ind w:left="93"/>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19"/>
        </w:trPr>
        <w:tc>
          <w:tcPr>
            <w:tcW w:w="86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40" w:type="dxa"/>
            <w:vAlign w:val="bottom"/>
            <w:gridSpan w:val="13"/>
            <w:vMerge w:val="restart"/>
          </w:tcPr>
          <w:p>
            <w:pPr>
              <w:ind w:left="60"/>
              <w:spacing w:after="0"/>
              <w:rPr>
                <w:sz w:val="20"/>
                <w:szCs w:val="20"/>
                <w:color w:val="auto"/>
              </w:rPr>
            </w:pPr>
            <w:r>
              <w:rPr>
                <w:rFonts w:ascii="Arial" w:cs="Arial" w:eastAsia="Arial" w:hAnsi="Arial"/>
                <w:sz w:val="14"/>
                <w:szCs w:val="14"/>
                <w:b w:val="1"/>
                <w:bCs w:val="1"/>
                <w:color w:val="auto"/>
              </w:rPr>
              <w:t>Description</w:t>
            </w: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02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Exhibit</w:t>
            </w:r>
          </w:p>
        </w:tc>
        <w:tc>
          <w:tcPr>
            <w:tcW w:w="1020" w:type="dxa"/>
            <w:vAlign w:val="bottom"/>
            <w:vMerge w:val="restart"/>
          </w:tcPr>
          <w:p>
            <w:pPr>
              <w:jc w:val="center"/>
              <w:ind w:right="11"/>
              <w:spacing w:after="0"/>
              <w:rPr>
                <w:sz w:val="20"/>
                <w:szCs w:val="20"/>
                <w:color w:val="auto"/>
              </w:rPr>
            </w:pPr>
            <w:r>
              <w:rPr>
                <w:rFonts w:ascii="Arial" w:cs="Arial" w:eastAsia="Arial" w:hAnsi="Arial"/>
                <w:sz w:val="14"/>
                <w:szCs w:val="14"/>
                <w:b w:val="1"/>
                <w:bCs w:val="1"/>
                <w:color w:val="auto"/>
                <w:w w:val="95"/>
              </w:rPr>
              <w:t>Date Filed</w:t>
            </w: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860" w:type="dxa"/>
            <w:vAlign w:val="bottom"/>
          </w:tcPr>
          <w:p>
            <w:pPr>
              <w:jc w:val="center"/>
              <w:ind w:right="91"/>
              <w:spacing w:after="0"/>
              <w:rPr>
                <w:sz w:val="20"/>
                <w:szCs w:val="20"/>
                <w:color w:val="auto"/>
              </w:rPr>
            </w:pPr>
            <w:r>
              <w:rPr>
                <w:rFonts w:ascii="Arial" w:cs="Arial" w:eastAsia="Arial" w:hAnsi="Arial"/>
                <w:sz w:val="14"/>
                <w:szCs w:val="14"/>
                <w:b w:val="1"/>
                <w:bCs w:val="1"/>
                <w:color w:val="auto"/>
                <w:w w:val="98"/>
              </w:rPr>
              <w:t>Number</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40" w:type="dxa"/>
            <w:vAlign w:val="bottom"/>
            <w:gridSpan w:val="13"/>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740" w:type="dxa"/>
            <w:vAlign w:val="bottom"/>
          </w:tcPr>
          <w:p>
            <w:pPr>
              <w:jc w:val="center"/>
              <w:ind w:left="73"/>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323"/>
        </w:trPr>
        <w:tc>
          <w:tcPr>
            <w:tcW w:w="860" w:type="dxa"/>
            <w:vAlign w:val="bottom"/>
          </w:tcPr>
          <w:p>
            <w:pPr>
              <w:jc w:val="center"/>
              <w:ind w:right="91"/>
              <w:spacing w:after="0"/>
              <w:rPr>
                <w:sz w:val="20"/>
                <w:szCs w:val="20"/>
                <w:color w:val="auto"/>
              </w:rPr>
            </w:pPr>
            <w:r>
              <w:rPr>
                <w:rFonts w:ascii="Arial" w:cs="Arial" w:eastAsia="Arial" w:hAnsi="Arial"/>
                <w:sz w:val="18"/>
                <w:szCs w:val="18"/>
                <w:color w:val="auto"/>
                <w:w w:val="95"/>
              </w:rPr>
              <w:t>3.1</w:t>
            </w:r>
          </w:p>
        </w:tc>
        <w:tc>
          <w:tcPr>
            <w:tcW w:w="6760" w:type="dxa"/>
            <w:vAlign w:val="bottom"/>
            <w:gridSpan w:val="20"/>
          </w:tcPr>
          <w:p>
            <w:pPr>
              <w:spacing w:after="0"/>
              <w:rPr>
                <w:rFonts w:ascii="Arial" w:cs="Arial" w:eastAsia="Arial" w:hAnsi="Arial"/>
                <w:sz w:val="18"/>
                <w:szCs w:val="18"/>
                <w:u w:val="single" w:color="auto"/>
                <w:color w:val="0000EE"/>
              </w:rPr>
            </w:pPr>
            <w:hyperlink r:id="rId108">
              <w:r>
                <w:rPr>
                  <w:rFonts w:ascii="Arial" w:cs="Arial" w:eastAsia="Arial" w:hAnsi="Arial"/>
                  <w:sz w:val="18"/>
                  <w:szCs w:val="18"/>
                  <w:u w:val="single" w:color="auto"/>
                  <w:color w:val="0000EE"/>
                </w:rPr>
                <w:t>Amended and Restated Certificate of Incorporation.</w:t>
              </w:r>
            </w:hyperlink>
          </w:p>
        </w:tc>
        <w:tc>
          <w:tcPr>
            <w:tcW w:w="700" w:type="dxa"/>
            <w:vAlign w:val="bottom"/>
          </w:tcPr>
          <w:p>
            <w:pPr>
              <w:jc w:val="center"/>
              <w:spacing w:after="0" w:line="207" w:lineRule="exact"/>
              <w:rPr>
                <w:sz w:val="20"/>
                <w:szCs w:val="20"/>
                <w:color w:val="auto"/>
              </w:rPr>
            </w:pPr>
            <w:r>
              <w:rPr>
                <w:rFonts w:ascii="Arial" w:cs="Arial" w:eastAsia="Arial" w:hAnsi="Arial"/>
                <w:sz w:val="18"/>
                <w:szCs w:val="18"/>
                <w:color w:val="auto"/>
              </w:rPr>
              <w:t>8</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09/25/2020</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60" w:type="dxa"/>
            <w:vAlign w:val="bottom"/>
          </w:tcPr>
          <w:p>
            <w:pPr>
              <w:jc w:val="center"/>
              <w:ind w:right="91"/>
              <w:spacing w:after="0"/>
              <w:rPr>
                <w:sz w:val="20"/>
                <w:szCs w:val="20"/>
                <w:color w:val="auto"/>
              </w:rPr>
            </w:pPr>
            <w:r>
              <w:rPr>
                <w:rFonts w:ascii="Arial" w:cs="Arial" w:eastAsia="Arial" w:hAnsi="Arial"/>
                <w:sz w:val="18"/>
                <w:szCs w:val="18"/>
                <w:color w:val="auto"/>
                <w:w w:val="95"/>
              </w:rPr>
              <w:t>3.2</w:t>
            </w:r>
          </w:p>
        </w:tc>
        <w:tc>
          <w:tcPr>
            <w:tcW w:w="6760" w:type="dxa"/>
            <w:vAlign w:val="bottom"/>
            <w:gridSpan w:val="20"/>
          </w:tcPr>
          <w:p>
            <w:pPr>
              <w:spacing w:after="0"/>
              <w:rPr>
                <w:rFonts w:ascii="Arial" w:cs="Arial" w:eastAsia="Arial" w:hAnsi="Arial"/>
                <w:sz w:val="18"/>
                <w:szCs w:val="18"/>
                <w:u w:val="single" w:color="auto"/>
                <w:color w:val="0000EE"/>
              </w:rPr>
            </w:pPr>
            <w:hyperlink r:id="rId109">
              <w:r>
                <w:rPr>
                  <w:rFonts w:ascii="Arial" w:cs="Arial" w:eastAsia="Arial" w:hAnsi="Arial"/>
                  <w:sz w:val="18"/>
                  <w:szCs w:val="18"/>
                  <w:u w:val="single" w:color="auto"/>
                  <w:color w:val="0000EE"/>
                </w:rPr>
                <w:t>Amended and Restated Bylaws.</w:t>
              </w:r>
            </w:hyperlink>
          </w:p>
        </w:tc>
        <w:tc>
          <w:tcPr>
            <w:tcW w:w="700" w:type="dxa"/>
            <w:vAlign w:val="bottom"/>
          </w:tcPr>
          <w:p>
            <w:pPr>
              <w:jc w:val="center"/>
              <w:spacing w:after="0" w:line="207" w:lineRule="exact"/>
              <w:rPr>
                <w:sz w:val="20"/>
                <w:szCs w:val="20"/>
                <w:color w:val="auto"/>
              </w:rPr>
            </w:pPr>
            <w:r>
              <w:rPr>
                <w:rFonts w:ascii="Arial" w:cs="Arial" w:eastAsia="Arial" w:hAnsi="Arial"/>
                <w:sz w:val="18"/>
                <w:szCs w:val="18"/>
                <w:color w:val="auto"/>
              </w:rPr>
              <w:t>8</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09/25/2020</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60" w:type="dxa"/>
            <w:vAlign w:val="bottom"/>
          </w:tcPr>
          <w:p>
            <w:pPr>
              <w:jc w:val="center"/>
              <w:ind w:right="91"/>
              <w:spacing w:after="0"/>
              <w:rPr>
                <w:sz w:val="20"/>
                <w:szCs w:val="20"/>
                <w:color w:val="auto"/>
              </w:rPr>
            </w:pPr>
            <w:r>
              <w:rPr>
                <w:rFonts w:ascii="Arial" w:cs="Arial" w:eastAsia="Arial" w:hAnsi="Arial"/>
                <w:sz w:val="18"/>
                <w:szCs w:val="18"/>
                <w:color w:val="auto"/>
                <w:w w:val="95"/>
              </w:rPr>
              <w:t>4.1</w:t>
            </w:r>
          </w:p>
        </w:tc>
        <w:tc>
          <w:tcPr>
            <w:tcW w:w="6760" w:type="dxa"/>
            <w:vAlign w:val="bottom"/>
            <w:gridSpan w:val="20"/>
          </w:tcPr>
          <w:p>
            <w:pPr>
              <w:spacing w:after="0"/>
              <w:rPr>
                <w:rFonts w:ascii="Arial" w:cs="Arial" w:eastAsia="Arial" w:hAnsi="Arial"/>
                <w:sz w:val="18"/>
                <w:szCs w:val="18"/>
                <w:color w:val="0000EE"/>
              </w:rPr>
            </w:pPr>
            <w:hyperlink r:id="rId110">
              <w:r>
                <w:rPr>
                  <w:rFonts w:ascii="Arial" w:cs="Arial" w:eastAsia="Arial" w:hAnsi="Arial"/>
                  <w:sz w:val="18"/>
                  <w:szCs w:val="18"/>
                  <w:u w:val="single" w:color="auto"/>
                  <w:color w:val="0000EE"/>
                </w:rPr>
                <w:t>Form of common stock certificate of Registrant</w:t>
              </w:r>
            </w:hyperlink>
            <w:r>
              <w:rPr>
                <w:rFonts w:ascii="Arial" w:cs="Arial" w:eastAsia="Arial" w:hAnsi="Arial"/>
                <w:sz w:val="18"/>
                <w:szCs w:val="18"/>
                <w:color w:val="000000"/>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09/14/2020</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60" w:type="dxa"/>
            <w:vAlign w:val="bottom"/>
          </w:tcPr>
          <w:p>
            <w:pPr>
              <w:jc w:val="center"/>
              <w:ind w:right="91"/>
              <w:spacing w:after="0"/>
              <w:rPr>
                <w:sz w:val="20"/>
                <w:szCs w:val="20"/>
                <w:color w:val="auto"/>
              </w:rPr>
            </w:pPr>
            <w:r>
              <w:rPr>
                <w:rFonts w:ascii="Arial" w:cs="Arial" w:eastAsia="Arial" w:hAnsi="Arial"/>
                <w:sz w:val="18"/>
                <w:szCs w:val="18"/>
                <w:color w:val="auto"/>
                <w:w w:val="95"/>
              </w:rPr>
              <w:t>4.2</w:t>
            </w:r>
          </w:p>
        </w:tc>
        <w:tc>
          <w:tcPr>
            <w:tcW w:w="6760" w:type="dxa"/>
            <w:vAlign w:val="bottom"/>
            <w:gridSpan w:val="20"/>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Investor Rights Agreement, by and between Corsair Gaming, Inc. and Corsair Group</w:t>
              </w:r>
            </w:hyperlink>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jc w:val="center"/>
              <w:ind w:left="9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77">
              <w:r>
                <w:rPr>
                  <w:rFonts w:ascii="Arial" w:cs="Arial" w:eastAsia="Arial" w:hAnsi="Arial"/>
                  <w:sz w:val="18"/>
                  <w:szCs w:val="18"/>
                  <w:color w:val="0000EE"/>
                  <w:w w:val="87"/>
                </w:rPr>
                <w:t>(Cayman), LP.</w:t>
              </w:r>
            </w:hyperlink>
          </w:p>
        </w:tc>
        <w:tc>
          <w:tcPr>
            <w:tcW w:w="5060" w:type="dxa"/>
            <w:vAlign w:val="bottom"/>
            <w:tcBorders>
              <w:top w:val="single" w:sz="8" w:color="0000EE"/>
            </w:tcBorders>
            <w:gridSpan w:val="9"/>
          </w:tcPr>
          <w:p>
            <w:pPr>
              <w:spacing w:after="0"/>
              <w:rPr>
                <w:sz w:val="17"/>
                <w:szCs w:val="17"/>
                <w:color w:val="auto"/>
              </w:rPr>
            </w:pPr>
          </w:p>
        </w:tc>
        <w:tc>
          <w:tcPr>
            <w:tcW w:w="660" w:type="dxa"/>
            <w:vAlign w:val="bottom"/>
            <w:gridSpan w:val="8"/>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60" w:type="dxa"/>
            <w:vAlign w:val="bottom"/>
          </w:tcPr>
          <w:p>
            <w:pPr>
              <w:jc w:val="center"/>
              <w:ind w:right="91"/>
              <w:spacing w:after="0"/>
              <w:rPr>
                <w:sz w:val="20"/>
                <w:szCs w:val="20"/>
                <w:color w:val="auto"/>
              </w:rPr>
            </w:pPr>
            <w:r>
              <w:rPr>
                <w:rFonts w:ascii="Arial" w:cs="Arial" w:eastAsia="Arial" w:hAnsi="Arial"/>
                <w:sz w:val="18"/>
                <w:szCs w:val="18"/>
                <w:color w:val="auto"/>
                <w:w w:val="91"/>
              </w:rPr>
              <w:t>10.1</w:t>
            </w:r>
          </w:p>
        </w:tc>
        <w:tc>
          <w:tcPr>
            <w:tcW w:w="6760" w:type="dxa"/>
            <w:vAlign w:val="bottom"/>
            <w:gridSpan w:val="20"/>
          </w:tcPr>
          <w:p>
            <w:pPr>
              <w:spacing w:after="0"/>
              <w:rPr>
                <w:rFonts w:ascii="Arial" w:cs="Arial" w:eastAsia="Arial" w:hAnsi="Arial"/>
                <w:sz w:val="18"/>
                <w:szCs w:val="18"/>
                <w:color w:val="0000EE"/>
                <w:w w:val="95"/>
              </w:rPr>
            </w:pPr>
            <w:hyperlink r:id="rId111">
              <w:r>
                <w:rPr>
                  <w:rFonts w:ascii="Arial" w:cs="Arial" w:eastAsia="Arial" w:hAnsi="Arial"/>
                  <w:sz w:val="18"/>
                  <w:szCs w:val="18"/>
                  <w:color w:val="0000EE"/>
                  <w:w w:val="95"/>
                </w:rPr>
                <w:t>Form of Indemnification Agreement to be entered into between Corsair Gaming, Inc. and</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02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08/21/2020</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64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each of its directors and executive officers.</w:t>
              </w:r>
            </w:hyperlink>
          </w:p>
        </w:tc>
        <w:tc>
          <w:tcPr>
            <w:tcW w:w="340" w:type="dxa"/>
            <w:vAlign w:val="bottom"/>
            <w:gridSpan w:val="6"/>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60" w:type="dxa"/>
            <w:vAlign w:val="bottom"/>
          </w:tcPr>
          <w:p>
            <w:pPr>
              <w:jc w:val="center"/>
              <w:ind w:right="91"/>
              <w:spacing w:after="0"/>
              <w:rPr>
                <w:sz w:val="20"/>
                <w:szCs w:val="20"/>
                <w:color w:val="auto"/>
              </w:rPr>
            </w:pPr>
            <w:r>
              <w:rPr>
                <w:rFonts w:ascii="Arial" w:cs="Arial" w:eastAsia="Arial" w:hAnsi="Arial"/>
                <w:sz w:val="18"/>
                <w:szCs w:val="18"/>
                <w:color w:val="auto"/>
                <w:w w:val="88"/>
              </w:rPr>
              <w:t>10.2#</w:t>
            </w:r>
          </w:p>
        </w:tc>
        <w:tc>
          <w:tcPr>
            <w:tcW w:w="6760" w:type="dxa"/>
            <w:vAlign w:val="bottom"/>
            <w:gridSpan w:val="20"/>
          </w:tcPr>
          <w:p>
            <w:pPr>
              <w:spacing w:after="0"/>
              <w:rPr>
                <w:rFonts w:ascii="Arial" w:cs="Arial" w:eastAsia="Arial" w:hAnsi="Arial"/>
                <w:sz w:val="18"/>
                <w:szCs w:val="18"/>
                <w:color w:val="0000EE"/>
              </w:rPr>
            </w:pPr>
            <w:hyperlink r:id="rId112">
              <w:r>
                <w:rPr>
                  <w:rFonts w:ascii="Arial" w:cs="Arial" w:eastAsia="Arial" w:hAnsi="Arial"/>
                  <w:sz w:val="18"/>
                  <w:szCs w:val="18"/>
                  <w:u w:val="single" w:color="auto"/>
                  <w:color w:val="0000EE"/>
                </w:rPr>
                <w:t>Corsair Gaming, Inc. Equity Incentive Program</w:t>
              </w:r>
            </w:hyperlink>
            <w:r>
              <w:rPr>
                <w:rFonts w:ascii="Arial" w:cs="Arial" w:eastAsia="Arial" w:hAnsi="Arial"/>
                <w:sz w:val="18"/>
                <w:szCs w:val="18"/>
                <w:color w:val="000000"/>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09/18/2020</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60" w:type="dxa"/>
            <w:vAlign w:val="bottom"/>
          </w:tcPr>
          <w:p>
            <w:pPr>
              <w:jc w:val="center"/>
              <w:ind w:right="91"/>
              <w:spacing w:after="0"/>
              <w:rPr>
                <w:sz w:val="20"/>
                <w:szCs w:val="20"/>
                <w:color w:val="auto"/>
              </w:rPr>
            </w:pPr>
            <w:r>
              <w:rPr>
                <w:rFonts w:ascii="Arial" w:cs="Arial" w:eastAsia="Arial" w:hAnsi="Arial"/>
                <w:sz w:val="18"/>
                <w:szCs w:val="18"/>
                <w:color w:val="auto"/>
                <w:w w:val="89"/>
              </w:rPr>
              <w:t>10.2(a)#</w:t>
            </w:r>
          </w:p>
        </w:tc>
        <w:tc>
          <w:tcPr>
            <w:tcW w:w="6760" w:type="dxa"/>
            <w:vAlign w:val="bottom"/>
            <w:gridSpan w:val="20"/>
          </w:tcPr>
          <w:p>
            <w:pPr>
              <w:spacing w:after="0"/>
              <w:rPr>
                <w:rFonts w:ascii="Arial" w:cs="Arial" w:eastAsia="Arial" w:hAnsi="Arial"/>
                <w:sz w:val="18"/>
                <w:szCs w:val="18"/>
                <w:color w:val="0000EE"/>
                <w:w w:val="93"/>
              </w:rPr>
            </w:pPr>
            <w:hyperlink r:id="rId113">
              <w:r>
                <w:rPr>
                  <w:rFonts w:ascii="Arial" w:cs="Arial" w:eastAsia="Arial" w:hAnsi="Arial"/>
                  <w:sz w:val="18"/>
                  <w:szCs w:val="18"/>
                  <w:color w:val="0000EE"/>
                  <w:w w:val="93"/>
                </w:rPr>
                <w:t>Form of Unit Award Agreement (U.S. Form) under EagleTree-Carbide Holdings (Cayman),</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10.2(a)</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08/21/2020</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66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LP Equity Incentive Program</w:t>
              </w:r>
              <w:r>
                <w:rPr>
                  <w:rFonts w:ascii="Arial" w:cs="Arial" w:eastAsia="Arial" w:hAnsi="Arial"/>
                  <w:sz w:val="18"/>
                  <w:szCs w:val="18"/>
                  <w:color w:val="000000"/>
                </w:rPr>
                <w:t>.</w:t>
              </w:r>
            </w:hyperlink>
          </w:p>
        </w:tc>
        <w:tc>
          <w:tcPr>
            <w:tcW w:w="16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60" w:type="dxa"/>
            <w:vAlign w:val="bottom"/>
          </w:tcPr>
          <w:p>
            <w:pPr>
              <w:jc w:val="center"/>
              <w:ind w:right="91"/>
              <w:spacing w:after="0"/>
              <w:rPr>
                <w:sz w:val="20"/>
                <w:szCs w:val="20"/>
                <w:color w:val="auto"/>
              </w:rPr>
            </w:pPr>
            <w:r>
              <w:rPr>
                <w:rFonts w:ascii="Arial" w:cs="Arial" w:eastAsia="Arial" w:hAnsi="Arial"/>
                <w:sz w:val="18"/>
                <w:szCs w:val="18"/>
                <w:color w:val="auto"/>
                <w:w w:val="89"/>
              </w:rPr>
              <w:t>10.2(b)#</w:t>
            </w:r>
          </w:p>
        </w:tc>
        <w:tc>
          <w:tcPr>
            <w:tcW w:w="6760" w:type="dxa"/>
            <w:vAlign w:val="bottom"/>
            <w:gridSpan w:val="20"/>
          </w:tcPr>
          <w:p>
            <w:pPr>
              <w:spacing w:after="0"/>
              <w:rPr>
                <w:rFonts w:ascii="Arial" w:cs="Arial" w:eastAsia="Arial" w:hAnsi="Arial"/>
                <w:sz w:val="18"/>
                <w:szCs w:val="18"/>
                <w:color w:val="0000EE"/>
              </w:rPr>
            </w:pPr>
            <w:hyperlink r:id="rId114">
              <w:r>
                <w:rPr>
                  <w:rFonts w:ascii="Arial" w:cs="Arial" w:eastAsia="Arial" w:hAnsi="Arial"/>
                  <w:sz w:val="18"/>
                  <w:szCs w:val="18"/>
                  <w:color w:val="0000EE"/>
                </w:rPr>
                <w:t>Form of Unit Award Agreement (Non-U.S. Form) under EagleTree-Carbide Holdings</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10.2(b)</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08/21/2020</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61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(Cayman), LP Equity Incentive Program</w:t>
              </w:r>
              <w:r>
                <w:rPr>
                  <w:rFonts w:ascii="Arial" w:cs="Arial" w:eastAsia="Arial" w:hAnsi="Arial"/>
                  <w:sz w:val="18"/>
                  <w:szCs w:val="18"/>
                  <w:color w:val="000000"/>
                </w:rPr>
                <w:t>.</w:t>
              </w:r>
            </w:hyperlink>
          </w:p>
        </w:tc>
        <w:tc>
          <w:tcPr>
            <w:tcW w:w="600" w:type="dxa"/>
            <w:vAlign w:val="bottom"/>
            <w:gridSpan w:val="7"/>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860" w:type="dxa"/>
            <w:vAlign w:val="bottom"/>
          </w:tcPr>
          <w:p>
            <w:pPr>
              <w:jc w:val="center"/>
              <w:ind w:right="91"/>
              <w:spacing w:after="0"/>
              <w:rPr>
                <w:sz w:val="20"/>
                <w:szCs w:val="20"/>
                <w:color w:val="auto"/>
              </w:rPr>
            </w:pPr>
            <w:r>
              <w:rPr>
                <w:rFonts w:ascii="Arial" w:cs="Arial" w:eastAsia="Arial" w:hAnsi="Arial"/>
                <w:sz w:val="18"/>
                <w:szCs w:val="18"/>
                <w:color w:val="auto"/>
                <w:w w:val="88"/>
              </w:rPr>
              <w:t>10.3#</w:t>
            </w:r>
          </w:p>
        </w:tc>
        <w:tc>
          <w:tcPr>
            <w:tcW w:w="2920" w:type="dxa"/>
            <w:vAlign w:val="bottom"/>
            <w:tcBorders>
              <w:top w:val="single" w:sz="8" w:color="0000EE"/>
            </w:tcBorders>
            <w:gridSpan w:val="7"/>
          </w:tcPr>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2020 Incentive Award Plan.</w:t>
              </w:r>
            </w:hyperlink>
          </w:p>
        </w:tc>
        <w:tc>
          <w:tcPr>
            <w:tcW w:w="3840" w:type="dxa"/>
            <w:vAlign w:val="bottom"/>
            <w:gridSpan w:val="13"/>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jc w:val="center"/>
              <w:ind w:left="9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97"/>
        </w:trPr>
        <w:tc>
          <w:tcPr>
            <w:tcW w:w="860" w:type="dxa"/>
            <w:vAlign w:val="bottom"/>
          </w:tcPr>
          <w:p>
            <w:pPr>
              <w:jc w:val="center"/>
              <w:ind w:right="91"/>
              <w:spacing w:after="0"/>
              <w:rPr>
                <w:sz w:val="20"/>
                <w:szCs w:val="20"/>
                <w:color w:val="auto"/>
              </w:rPr>
            </w:pPr>
            <w:r>
              <w:rPr>
                <w:rFonts w:ascii="Arial" w:cs="Arial" w:eastAsia="Arial" w:hAnsi="Arial"/>
                <w:sz w:val="18"/>
                <w:szCs w:val="18"/>
                <w:color w:val="auto"/>
                <w:w w:val="89"/>
              </w:rPr>
              <w:t>10.3(a)#</w:t>
            </w:r>
          </w:p>
        </w:tc>
        <w:tc>
          <w:tcPr>
            <w:tcW w:w="6560" w:type="dxa"/>
            <w:vAlign w:val="bottom"/>
            <w:tcBorders>
              <w:bottom w:val="single" w:sz="8" w:color="0000EE"/>
            </w:tcBorders>
            <w:gridSpan w:val="17"/>
          </w:tcPr>
          <w:p>
            <w:pPr>
              <w:spacing w:after="0"/>
              <w:rPr>
                <w:rFonts w:ascii="Arial" w:cs="Arial" w:eastAsia="Arial" w:hAnsi="Arial"/>
                <w:sz w:val="18"/>
                <w:szCs w:val="18"/>
                <w:color w:val="0000EE"/>
                <w:w w:val="91"/>
              </w:rPr>
            </w:pPr>
            <w:hyperlink r:id="rId115">
              <w:r>
                <w:rPr>
                  <w:rFonts w:ascii="Arial" w:cs="Arial" w:eastAsia="Arial" w:hAnsi="Arial"/>
                  <w:sz w:val="18"/>
                  <w:szCs w:val="18"/>
                  <w:color w:val="0000EE"/>
                  <w:w w:val="91"/>
                </w:rPr>
                <w:t>Form of Stock Option Grant Notice and Stock Option Agreement under the 2020 Incentive</w:t>
              </w:r>
            </w:hyperlink>
          </w:p>
        </w:tc>
        <w:tc>
          <w:tcPr>
            <w:tcW w:w="200" w:type="dxa"/>
            <w:vAlign w:val="bottom"/>
            <w:gridSpan w:val="3"/>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10.3(a)</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09/14/2020</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88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r:id="rId115">
              <w:r>
                <w:rPr>
                  <w:rFonts w:ascii="Arial" w:cs="Arial" w:eastAsia="Arial" w:hAnsi="Arial"/>
                  <w:sz w:val="18"/>
                  <w:szCs w:val="18"/>
                  <w:color w:val="0000EE"/>
                  <w:w w:val="88"/>
                </w:rPr>
                <w:t>Award Plan.</w:t>
              </w:r>
            </w:hyperlink>
          </w:p>
        </w:tc>
        <w:tc>
          <w:tcPr>
            <w:tcW w:w="5880" w:type="dxa"/>
            <w:vAlign w:val="bottom"/>
            <w:gridSpan w:val="18"/>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860" w:type="dxa"/>
            <w:vAlign w:val="bottom"/>
          </w:tcPr>
          <w:p>
            <w:pPr>
              <w:jc w:val="center"/>
              <w:ind w:right="91"/>
              <w:spacing w:after="0"/>
              <w:rPr>
                <w:sz w:val="20"/>
                <w:szCs w:val="20"/>
                <w:color w:val="auto"/>
              </w:rPr>
            </w:pPr>
            <w:r>
              <w:rPr>
                <w:rFonts w:ascii="Arial" w:cs="Arial" w:eastAsia="Arial" w:hAnsi="Arial"/>
                <w:sz w:val="18"/>
                <w:szCs w:val="18"/>
                <w:color w:val="auto"/>
                <w:w w:val="89"/>
              </w:rPr>
              <w:t>10.3(b)#</w:t>
            </w:r>
          </w:p>
        </w:tc>
        <w:tc>
          <w:tcPr>
            <w:tcW w:w="6760" w:type="dxa"/>
            <w:vAlign w:val="bottom"/>
            <w:gridSpan w:val="20"/>
          </w:tcPr>
          <w:p>
            <w:pPr>
              <w:spacing w:after="0"/>
              <w:rPr>
                <w:rFonts w:ascii="Arial" w:cs="Arial" w:eastAsia="Arial" w:hAnsi="Arial"/>
                <w:sz w:val="18"/>
                <w:szCs w:val="18"/>
                <w:u w:val="single" w:color="auto"/>
                <w:color w:val="0000EE"/>
              </w:rPr>
            </w:pPr>
            <w:hyperlink r:id="rId116">
              <w:r>
                <w:rPr>
                  <w:rFonts w:ascii="Arial" w:cs="Arial" w:eastAsia="Arial" w:hAnsi="Arial"/>
                  <w:sz w:val="18"/>
                  <w:szCs w:val="18"/>
                  <w:u w:val="single" w:color="auto"/>
                  <w:color w:val="0000EE"/>
                </w:rPr>
                <w:t>Form of Restricted Stock Award Agreement under the 2020 Incentive Award Plan.</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10.3(b)</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09/14/2020</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60" w:type="dxa"/>
            <w:vAlign w:val="bottom"/>
          </w:tcPr>
          <w:p>
            <w:pPr>
              <w:jc w:val="center"/>
              <w:ind w:right="91"/>
              <w:spacing w:after="0"/>
              <w:rPr>
                <w:sz w:val="20"/>
                <w:szCs w:val="20"/>
                <w:color w:val="auto"/>
              </w:rPr>
            </w:pPr>
            <w:r>
              <w:rPr>
                <w:rFonts w:ascii="Arial" w:cs="Arial" w:eastAsia="Arial" w:hAnsi="Arial"/>
                <w:sz w:val="18"/>
                <w:szCs w:val="18"/>
                <w:color w:val="auto"/>
                <w:w w:val="90"/>
              </w:rPr>
              <w:t>10.3(c)#</w:t>
            </w:r>
          </w:p>
        </w:tc>
        <w:tc>
          <w:tcPr>
            <w:tcW w:w="6760" w:type="dxa"/>
            <w:vAlign w:val="bottom"/>
            <w:gridSpan w:val="20"/>
          </w:tcPr>
          <w:p>
            <w:pPr>
              <w:spacing w:after="0"/>
              <w:rPr>
                <w:rFonts w:ascii="Arial" w:cs="Arial" w:eastAsia="Arial" w:hAnsi="Arial"/>
                <w:sz w:val="18"/>
                <w:szCs w:val="18"/>
                <w:u w:val="single" w:color="auto"/>
                <w:color w:val="0000EE"/>
                <w:w w:val="95"/>
              </w:rPr>
            </w:pPr>
            <w:hyperlink r:id="rId117">
              <w:r>
                <w:rPr>
                  <w:rFonts w:ascii="Arial" w:cs="Arial" w:eastAsia="Arial" w:hAnsi="Arial"/>
                  <w:sz w:val="18"/>
                  <w:szCs w:val="18"/>
                  <w:u w:val="single" w:color="auto"/>
                  <w:color w:val="0000EE"/>
                  <w:w w:val="95"/>
                </w:rPr>
                <w:t>Form of Restricted Stock Unit Award Grant Notice under the 2020 Incentive Award Plan.</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10.3(c)</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09/14/2020</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60" w:type="dxa"/>
            <w:vAlign w:val="bottom"/>
          </w:tcPr>
          <w:p>
            <w:pPr>
              <w:jc w:val="center"/>
              <w:ind w:right="91"/>
              <w:spacing w:after="0"/>
              <w:rPr>
                <w:sz w:val="20"/>
                <w:szCs w:val="20"/>
                <w:color w:val="auto"/>
              </w:rPr>
            </w:pPr>
            <w:r>
              <w:rPr>
                <w:rFonts w:ascii="Arial" w:cs="Arial" w:eastAsia="Arial" w:hAnsi="Arial"/>
                <w:sz w:val="18"/>
                <w:szCs w:val="18"/>
                <w:color w:val="auto"/>
                <w:w w:val="88"/>
              </w:rPr>
              <w:t>10.4#</w:t>
            </w:r>
          </w:p>
        </w:tc>
        <w:tc>
          <w:tcPr>
            <w:tcW w:w="6760" w:type="dxa"/>
            <w:vAlign w:val="bottom"/>
            <w:gridSpan w:val="20"/>
          </w:tcPr>
          <w:p>
            <w:pPr>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2020 Employee Stock Purchase Plan.</w:t>
              </w:r>
            </w:hyperlink>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jc w:val="center"/>
              <w:ind w:left="9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97"/>
        </w:trPr>
        <w:tc>
          <w:tcPr>
            <w:tcW w:w="860" w:type="dxa"/>
            <w:vAlign w:val="bottom"/>
          </w:tcPr>
          <w:p>
            <w:pPr>
              <w:jc w:val="center"/>
              <w:ind w:right="91"/>
              <w:spacing w:after="0"/>
              <w:rPr>
                <w:sz w:val="20"/>
                <w:szCs w:val="20"/>
                <w:color w:val="auto"/>
              </w:rPr>
            </w:pPr>
            <w:r>
              <w:rPr>
                <w:rFonts w:ascii="Arial" w:cs="Arial" w:eastAsia="Arial" w:hAnsi="Arial"/>
                <w:sz w:val="18"/>
                <w:szCs w:val="18"/>
                <w:color w:val="auto"/>
                <w:w w:val="88"/>
              </w:rPr>
              <w:t>10.5#</w:t>
            </w:r>
          </w:p>
        </w:tc>
        <w:tc>
          <w:tcPr>
            <w:tcW w:w="6760" w:type="dxa"/>
            <w:vAlign w:val="bottom"/>
            <w:gridSpan w:val="20"/>
          </w:tcPr>
          <w:p>
            <w:pPr>
              <w:spacing w:after="0"/>
              <w:rPr>
                <w:rFonts w:ascii="Arial" w:cs="Arial" w:eastAsia="Arial" w:hAnsi="Arial"/>
                <w:sz w:val="18"/>
                <w:szCs w:val="18"/>
                <w:color w:val="0000EE"/>
                <w:w w:val="90"/>
              </w:rPr>
            </w:pPr>
            <w:hyperlink r:id="rId118">
              <w:r>
                <w:rPr>
                  <w:rFonts w:ascii="Arial" w:cs="Arial" w:eastAsia="Arial" w:hAnsi="Arial"/>
                  <w:sz w:val="18"/>
                  <w:szCs w:val="18"/>
                  <w:color w:val="0000EE"/>
                  <w:w w:val="90"/>
                </w:rPr>
                <w:t>Severance Letter Agreement, dated as July 1, 2010, by and among Corsair Memory, Inc. and</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10.8(a)</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08/21/2020</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118">
              <w:r>
                <w:rPr>
                  <w:rFonts w:ascii="Arial" w:cs="Arial" w:eastAsia="Arial" w:hAnsi="Arial"/>
                  <w:sz w:val="18"/>
                  <w:szCs w:val="18"/>
                  <w:color w:val="0000EE"/>
                  <w:w w:val="90"/>
                </w:rPr>
                <w:t>Andy Paul</w:t>
              </w:r>
            </w:hyperlink>
          </w:p>
        </w:tc>
        <w:tc>
          <w:tcPr>
            <w:tcW w:w="5900" w:type="dxa"/>
            <w:vAlign w:val="bottom"/>
            <w:tcBorders>
              <w:top w:val="single" w:sz="8" w:color="0000EE"/>
            </w:tcBorders>
            <w:gridSpan w:val="18"/>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60" w:type="dxa"/>
            <w:vAlign w:val="bottom"/>
          </w:tcPr>
          <w:p>
            <w:pPr>
              <w:jc w:val="center"/>
              <w:ind w:right="91"/>
              <w:spacing w:after="0"/>
              <w:rPr>
                <w:sz w:val="20"/>
                <w:szCs w:val="20"/>
                <w:color w:val="auto"/>
              </w:rPr>
            </w:pPr>
            <w:r>
              <w:rPr>
                <w:rFonts w:ascii="Arial" w:cs="Arial" w:eastAsia="Arial" w:hAnsi="Arial"/>
                <w:sz w:val="18"/>
                <w:szCs w:val="18"/>
                <w:color w:val="auto"/>
                <w:w w:val="88"/>
              </w:rPr>
              <w:t>10.6#</w:t>
            </w:r>
          </w:p>
        </w:tc>
        <w:tc>
          <w:tcPr>
            <w:tcW w:w="6460" w:type="dxa"/>
            <w:vAlign w:val="bottom"/>
            <w:tcBorders>
              <w:bottom w:val="single" w:sz="8" w:color="0000EE"/>
            </w:tcBorders>
            <w:gridSpan w:val="15"/>
          </w:tcPr>
          <w:p>
            <w:pPr>
              <w:spacing w:after="0"/>
              <w:rPr>
                <w:rFonts w:ascii="Arial" w:cs="Arial" w:eastAsia="Arial" w:hAnsi="Arial"/>
                <w:sz w:val="18"/>
                <w:szCs w:val="18"/>
                <w:color w:val="0000EE"/>
                <w:w w:val="90"/>
              </w:rPr>
            </w:pPr>
            <w:hyperlink r:id="rId119">
              <w:r>
                <w:rPr>
                  <w:rFonts w:ascii="Arial" w:cs="Arial" w:eastAsia="Arial" w:hAnsi="Arial"/>
                  <w:sz w:val="18"/>
                  <w:szCs w:val="18"/>
                  <w:color w:val="0000EE"/>
                  <w:w w:val="90"/>
                </w:rPr>
                <w:t>Offer Letter Agreement, dated October 17, 2019, by and among Corsair Gaming Inc., and</w:t>
              </w:r>
            </w:hyperlink>
          </w:p>
        </w:tc>
        <w:tc>
          <w:tcPr>
            <w:tcW w:w="300" w:type="dxa"/>
            <w:vAlign w:val="bottom"/>
            <w:gridSpan w:val="5"/>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10.10</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08/21/2020</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10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119">
              <w:r>
                <w:rPr>
                  <w:rFonts w:ascii="Arial" w:cs="Arial" w:eastAsia="Arial" w:hAnsi="Arial"/>
                  <w:sz w:val="18"/>
                  <w:szCs w:val="18"/>
                  <w:color w:val="0000EE"/>
                  <w:w w:val="89"/>
                </w:rPr>
                <w:t>Michael Potter.</w:t>
              </w:r>
            </w:hyperlink>
          </w:p>
        </w:tc>
        <w:tc>
          <w:tcPr>
            <w:tcW w:w="5660" w:type="dxa"/>
            <w:vAlign w:val="bottom"/>
            <w:gridSpan w:val="16"/>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860" w:type="dxa"/>
            <w:vAlign w:val="bottom"/>
          </w:tcPr>
          <w:p>
            <w:pPr>
              <w:jc w:val="center"/>
              <w:ind w:right="91"/>
              <w:spacing w:after="0"/>
              <w:rPr>
                <w:sz w:val="20"/>
                <w:szCs w:val="20"/>
                <w:color w:val="auto"/>
              </w:rPr>
            </w:pPr>
            <w:r>
              <w:rPr>
                <w:rFonts w:ascii="Arial" w:cs="Arial" w:eastAsia="Arial" w:hAnsi="Arial"/>
                <w:sz w:val="18"/>
                <w:szCs w:val="18"/>
                <w:color w:val="auto"/>
                <w:w w:val="91"/>
              </w:rPr>
              <w:t>10.7</w:t>
            </w:r>
          </w:p>
        </w:tc>
        <w:tc>
          <w:tcPr>
            <w:tcW w:w="6760" w:type="dxa"/>
            <w:vAlign w:val="bottom"/>
            <w:gridSpan w:val="20"/>
          </w:tcPr>
          <w:p>
            <w:pPr>
              <w:spacing w:after="0"/>
              <w:rPr>
                <w:rFonts w:ascii="Arial" w:cs="Arial" w:eastAsia="Arial" w:hAnsi="Arial"/>
                <w:sz w:val="18"/>
                <w:szCs w:val="18"/>
                <w:color w:val="0000EE"/>
              </w:rPr>
            </w:pPr>
            <w:hyperlink r:id="rId120">
              <w:r>
                <w:rPr>
                  <w:rFonts w:ascii="Arial" w:cs="Arial" w:eastAsia="Arial" w:hAnsi="Arial"/>
                  <w:sz w:val="18"/>
                  <w:szCs w:val="18"/>
                  <w:u w:val="single" w:color="auto"/>
                  <w:color w:val="0000EE"/>
                </w:rPr>
                <w:t>Amendment No. 6 to First Lien Credit and Guaranty Agreement</w:t>
              </w:r>
            </w:hyperlink>
            <w:r>
              <w:rPr>
                <w:rFonts w:ascii="Arial" w:cs="Arial" w:eastAsia="Arial" w:hAnsi="Arial"/>
                <w:sz w:val="18"/>
                <w:szCs w:val="18"/>
                <w:color w:val="000000"/>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10/01/2020</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60" w:type="dxa"/>
            <w:vAlign w:val="bottom"/>
          </w:tcPr>
          <w:p>
            <w:pPr>
              <w:jc w:val="center"/>
              <w:ind w:right="91"/>
              <w:spacing w:after="0"/>
              <w:rPr>
                <w:sz w:val="20"/>
                <w:szCs w:val="20"/>
                <w:color w:val="auto"/>
              </w:rPr>
            </w:pPr>
            <w:r>
              <w:rPr>
                <w:rFonts w:ascii="Arial" w:cs="Arial" w:eastAsia="Arial" w:hAnsi="Arial"/>
                <w:sz w:val="18"/>
                <w:szCs w:val="18"/>
                <w:color w:val="auto"/>
                <w:w w:val="91"/>
              </w:rPr>
              <w:t>31.1</w:t>
            </w:r>
          </w:p>
        </w:tc>
        <w:tc>
          <w:tcPr>
            <w:tcW w:w="6760" w:type="dxa"/>
            <w:vAlign w:val="bottom"/>
            <w:gridSpan w:val="20"/>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Certification of Principal Executive Officer Required under Securities Exchange Act</w:t>
              </w:r>
            </w:hyperlink>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jc w:val="center"/>
              <w:ind w:left="9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60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Rule 13a</w:t>
              </w:r>
              <w:r>
                <w:rPr>
                  <w:rFonts w:ascii="MS PGothic" w:cs="MS PGothic" w:eastAsia="MS PGothic" w:hAnsi="MS PGothic"/>
                  <w:sz w:val="18"/>
                  <w:szCs w:val="18"/>
                  <w:color w:val="0000EE"/>
                </w:rPr>
                <w:t>‑</w:t>
              </w:r>
              <w:r>
                <w:rPr>
                  <w:rFonts w:ascii="Arial" w:cs="Arial" w:eastAsia="Arial" w:hAnsi="Arial"/>
                  <w:sz w:val="18"/>
                  <w:szCs w:val="18"/>
                  <w:color w:val="0000EE"/>
                </w:rPr>
                <w:t>14(a) and 15d</w:t>
              </w:r>
              <w:r>
                <w:rPr>
                  <w:rFonts w:ascii="MS PGothic" w:cs="MS PGothic" w:eastAsia="MS PGothic" w:hAnsi="MS PGothic"/>
                  <w:sz w:val="18"/>
                  <w:szCs w:val="18"/>
                  <w:color w:val="0000EE"/>
                </w:rPr>
                <w:t>‑</w:t>
              </w:r>
              <w:r>
                <w:rPr>
                  <w:rFonts w:ascii="Arial" w:cs="Arial" w:eastAsia="Arial" w:hAnsi="Arial"/>
                  <w:sz w:val="18"/>
                  <w:szCs w:val="18"/>
                  <w:color w:val="0000EE"/>
                </w:rPr>
                <w:t>14(a).</w:t>
              </w:r>
            </w:hyperlink>
          </w:p>
        </w:tc>
        <w:tc>
          <w:tcPr>
            <w:tcW w:w="680" w:type="dxa"/>
            <w:vAlign w:val="bottom"/>
            <w:gridSpan w:val="9"/>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180" w:type="dxa"/>
            <w:vAlign w:val="bottom"/>
            <w:gridSpan w:val="6"/>
            <w:shd w:val="clear" w:color="auto" w:fill="0000EE"/>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jc w:val="center"/>
              <w:ind w:right="91"/>
              <w:spacing w:after="0"/>
              <w:rPr>
                <w:sz w:val="20"/>
                <w:szCs w:val="20"/>
                <w:color w:val="auto"/>
              </w:rPr>
            </w:pPr>
            <w:r>
              <w:rPr>
                <w:rFonts w:ascii="Arial" w:cs="Arial" w:eastAsia="Arial" w:hAnsi="Arial"/>
                <w:sz w:val="18"/>
                <w:szCs w:val="18"/>
                <w:color w:val="auto"/>
                <w:w w:val="91"/>
              </w:rPr>
              <w:t>31.2</w:t>
            </w:r>
          </w:p>
        </w:tc>
        <w:tc>
          <w:tcPr>
            <w:tcW w:w="534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144">
              <w:r>
                <w:rPr>
                  <w:rFonts w:ascii="Arial" w:cs="Arial" w:eastAsia="Arial" w:hAnsi="Arial"/>
                  <w:sz w:val="18"/>
                  <w:szCs w:val="18"/>
                  <w:color w:val="0000EE"/>
                  <w:w w:val="92"/>
                </w:rPr>
                <w:t>Certification of Principal Financial Officer under Securities Exchange Act</w:t>
              </w:r>
            </w:hyperlink>
          </w:p>
        </w:tc>
        <w:tc>
          <w:tcPr>
            <w:tcW w:w="1420" w:type="dxa"/>
            <w:vAlign w:val="bottom"/>
            <w:gridSpan w:val="10"/>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jc w:val="center"/>
              <w:ind w:left="9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6760" w:type="dxa"/>
            <w:vAlign w:val="bottom"/>
            <w:gridSpan w:val="20"/>
          </w:tcPr>
          <w:p>
            <w:pPr>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Rule 13a</w:t>
              </w:r>
              <w:r>
                <w:rPr>
                  <w:rFonts w:ascii="MS PGothic" w:cs="MS PGothic" w:eastAsia="MS PGothic" w:hAnsi="MS PGothic"/>
                  <w:sz w:val="18"/>
                  <w:szCs w:val="18"/>
                  <w:color w:val="0000EE"/>
                </w:rPr>
                <w:t>‑</w:t>
              </w:r>
              <w:r>
                <w:rPr>
                  <w:rFonts w:ascii="Arial" w:cs="Arial" w:eastAsia="Arial" w:hAnsi="Arial"/>
                  <w:sz w:val="18"/>
                  <w:szCs w:val="18"/>
                  <w:color w:val="0000EE"/>
                </w:rPr>
                <w:t>14(a) and 15d</w:t>
              </w:r>
              <w:r>
                <w:rPr>
                  <w:rFonts w:ascii="MS PGothic" w:cs="MS PGothic" w:eastAsia="MS PGothic" w:hAnsi="MS PGothic"/>
                  <w:sz w:val="18"/>
                  <w:szCs w:val="18"/>
                  <w:color w:val="0000EE"/>
                </w:rPr>
                <w:t>‑</w:t>
              </w:r>
              <w:r>
                <w:rPr>
                  <w:rFonts w:ascii="Arial" w:cs="Arial" w:eastAsia="Arial" w:hAnsi="Arial"/>
                  <w:sz w:val="18"/>
                  <w:szCs w:val="18"/>
                  <w:color w:val="0000EE"/>
                </w:rPr>
                <w:t>14(a).</w:t>
              </w:r>
            </w:hyperlink>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180" w:type="dxa"/>
            <w:vAlign w:val="bottom"/>
            <w:gridSpan w:val="6"/>
            <w:shd w:val="clear" w:color="auto" w:fill="0000EE"/>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jc w:val="center"/>
              <w:ind w:right="91"/>
              <w:spacing w:after="0"/>
              <w:rPr>
                <w:sz w:val="20"/>
                <w:szCs w:val="20"/>
                <w:color w:val="auto"/>
              </w:rPr>
            </w:pPr>
            <w:r>
              <w:rPr>
                <w:rFonts w:ascii="Arial" w:cs="Arial" w:eastAsia="Arial" w:hAnsi="Arial"/>
                <w:sz w:val="18"/>
                <w:szCs w:val="18"/>
                <w:color w:val="auto"/>
                <w:w w:val="95"/>
              </w:rPr>
              <w:t>32.1*</w:t>
            </w:r>
          </w:p>
        </w:tc>
        <w:tc>
          <w:tcPr>
            <w:tcW w:w="654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145">
              <w:r>
                <w:rPr>
                  <w:rFonts w:ascii="Arial" w:cs="Arial" w:eastAsia="Arial" w:hAnsi="Arial"/>
                  <w:sz w:val="18"/>
                  <w:szCs w:val="18"/>
                  <w:color w:val="0000EE"/>
                  <w:w w:val="92"/>
                </w:rPr>
                <w:t>Certifications of Principal Executive Officer and Principal Financial Officer pursuant to 18</w:t>
              </w:r>
            </w:hyperlink>
          </w:p>
        </w:tc>
        <w:tc>
          <w:tcPr>
            <w:tcW w:w="220" w:type="dxa"/>
            <w:vAlign w:val="bottom"/>
            <w:gridSpan w:val="4"/>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jc w:val="center"/>
              <w:ind w:left="9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6760" w:type="dxa"/>
            <w:vAlign w:val="bottom"/>
            <w:gridSpan w:val="20"/>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U.S.C. 1350 and Securities Exchange Act Rule 13a</w:t>
              </w:r>
              <w:r>
                <w:rPr>
                  <w:rFonts w:ascii="MS PGothic" w:cs="MS PGothic" w:eastAsia="MS PGothic" w:hAnsi="MS PGothic"/>
                  <w:sz w:val="18"/>
                  <w:szCs w:val="18"/>
                  <w:color w:val="0000EE"/>
                </w:rPr>
                <w:t>‑</w:t>
              </w:r>
              <w:r>
                <w:rPr>
                  <w:rFonts w:ascii="Arial" w:cs="Arial" w:eastAsia="Arial" w:hAnsi="Arial"/>
                  <w:sz w:val="18"/>
                  <w:szCs w:val="18"/>
                  <w:color w:val="0000EE"/>
                </w:rPr>
                <w:t>14(b).</w:t>
              </w:r>
            </w:hyperlink>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860" w:type="dxa"/>
            <w:vAlign w:val="bottom"/>
          </w:tcPr>
          <w:p>
            <w:pPr>
              <w:jc w:val="center"/>
              <w:ind w:right="91"/>
              <w:spacing w:after="0"/>
              <w:rPr>
                <w:sz w:val="20"/>
                <w:szCs w:val="20"/>
                <w:color w:val="auto"/>
              </w:rPr>
            </w:pPr>
            <w:r>
              <w:rPr>
                <w:rFonts w:ascii="Arial" w:cs="Arial" w:eastAsia="Arial" w:hAnsi="Arial"/>
                <w:sz w:val="18"/>
                <w:szCs w:val="18"/>
                <w:color w:val="auto"/>
                <w:w w:val="92"/>
              </w:rPr>
              <w:t>101.INS</w:t>
            </w:r>
          </w:p>
        </w:tc>
        <w:tc>
          <w:tcPr>
            <w:tcW w:w="4180" w:type="dxa"/>
            <w:vAlign w:val="bottom"/>
            <w:tcBorders>
              <w:top w:val="single" w:sz="8" w:color="0000EE"/>
            </w:tcBorders>
            <w:gridSpan w:val="9"/>
          </w:tcPr>
          <w:p>
            <w:pPr>
              <w:spacing w:after="0"/>
              <w:rPr>
                <w:sz w:val="20"/>
                <w:szCs w:val="20"/>
                <w:color w:val="auto"/>
              </w:rPr>
            </w:pPr>
            <w:r>
              <w:rPr>
                <w:rFonts w:ascii="Arial" w:cs="Arial" w:eastAsia="Arial" w:hAnsi="Arial"/>
                <w:sz w:val="18"/>
                <w:szCs w:val="18"/>
                <w:color w:val="auto"/>
              </w:rPr>
              <w:t>XBRL Instance Document</w:t>
            </w:r>
          </w:p>
        </w:tc>
        <w:tc>
          <w:tcPr>
            <w:tcW w:w="2580" w:type="dxa"/>
            <w:vAlign w:val="bottom"/>
            <w:gridSpan w:val="11"/>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jc w:val="center"/>
              <w:ind w:left="9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38"/>
        </w:trPr>
        <w:tc>
          <w:tcPr>
            <w:tcW w:w="860" w:type="dxa"/>
            <w:vAlign w:val="bottom"/>
          </w:tcPr>
          <w:p>
            <w:pPr>
              <w:jc w:val="center"/>
              <w:ind w:right="91"/>
              <w:spacing w:after="0"/>
              <w:rPr>
                <w:sz w:val="20"/>
                <w:szCs w:val="20"/>
                <w:color w:val="auto"/>
              </w:rPr>
            </w:pPr>
            <w:r>
              <w:rPr>
                <w:rFonts w:ascii="Arial" w:cs="Arial" w:eastAsia="Arial" w:hAnsi="Arial"/>
                <w:sz w:val="18"/>
                <w:szCs w:val="18"/>
                <w:color w:val="auto"/>
                <w:w w:val="93"/>
              </w:rPr>
              <w:t>101.SCH</w:t>
            </w:r>
          </w:p>
        </w:tc>
        <w:tc>
          <w:tcPr>
            <w:tcW w:w="6760" w:type="dxa"/>
            <w:vAlign w:val="bottom"/>
            <w:gridSpan w:val="20"/>
          </w:tcPr>
          <w:p>
            <w:pPr>
              <w:spacing w:after="0"/>
              <w:rPr>
                <w:sz w:val="20"/>
                <w:szCs w:val="20"/>
                <w:color w:val="auto"/>
              </w:rPr>
            </w:pPr>
            <w:r>
              <w:rPr>
                <w:rFonts w:ascii="Arial" w:cs="Arial" w:eastAsia="Arial" w:hAnsi="Arial"/>
                <w:sz w:val="18"/>
                <w:szCs w:val="18"/>
                <w:color w:val="auto"/>
              </w:rPr>
              <w:t>XBRL Taxonomy Extension Schema Document</w:t>
            </w: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jc w:val="center"/>
              <w:ind w:left="9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38"/>
        </w:trPr>
        <w:tc>
          <w:tcPr>
            <w:tcW w:w="860" w:type="dxa"/>
            <w:vAlign w:val="bottom"/>
          </w:tcPr>
          <w:p>
            <w:pPr>
              <w:jc w:val="center"/>
              <w:ind w:right="91"/>
              <w:spacing w:after="0"/>
              <w:rPr>
                <w:sz w:val="20"/>
                <w:szCs w:val="20"/>
                <w:color w:val="auto"/>
              </w:rPr>
            </w:pPr>
            <w:r>
              <w:rPr>
                <w:rFonts w:ascii="Arial" w:cs="Arial" w:eastAsia="Arial" w:hAnsi="Arial"/>
                <w:sz w:val="18"/>
                <w:szCs w:val="18"/>
                <w:color w:val="auto"/>
                <w:w w:val="97"/>
              </w:rPr>
              <w:t>101.CAL</w:t>
            </w:r>
          </w:p>
        </w:tc>
        <w:tc>
          <w:tcPr>
            <w:tcW w:w="6760" w:type="dxa"/>
            <w:vAlign w:val="bottom"/>
            <w:gridSpan w:val="20"/>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jc w:val="center"/>
              <w:ind w:left="9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38"/>
        </w:trPr>
        <w:tc>
          <w:tcPr>
            <w:tcW w:w="860" w:type="dxa"/>
            <w:vAlign w:val="bottom"/>
          </w:tcPr>
          <w:p>
            <w:pPr>
              <w:jc w:val="center"/>
              <w:ind w:right="91"/>
              <w:spacing w:after="0"/>
              <w:rPr>
                <w:sz w:val="20"/>
                <w:szCs w:val="20"/>
                <w:color w:val="auto"/>
              </w:rPr>
            </w:pPr>
            <w:r>
              <w:rPr>
                <w:rFonts w:ascii="Arial" w:cs="Arial" w:eastAsia="Arial" w:hAnsi="Arial"/>
                <w:sz w:val="18"/>
                <w:szCs w:val="18"/>
                <w:color w:val="auto"/>
                <w:w w:val="90"/>
              </w:rPr>
              <w:t>101.DEF</w:t>
            </w:r>
          </w:p>
        </w:tc>
        <w:tc>
          <w:tcPr>
            <w:tcW w:w="6760" w:type="dxa"/>
            <w:vAlign w:val="bottom"/>
            <w:gridSpan w:val="20"/>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jc w:val="center"/>
              <w:ind w:left="9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37"/>
        </w:trPr>
        <w:tc>
          <w:tcPr>
            <w:tcW w:w="860" w:type="dxa"/>
            <w:vAlign w:val="bottom"/>
          </w:tcPr>
          <w:p>
            <w:pPr>
              <w:jc w:val="center"/>
              <w:ind w:right="91"/>
              <w:spacing w:after="0"/>
              <w:rPr>
                <w:sz w:val="20"/>
                <w:szCs w:val="20"/>
                <w:color w:val="auto"/>
              </w:rPr>
            </w:pPr>
            <w:r>
              <w:rPr>
                <w:rFonts w:ascii="Arial" w:cs="Arial" w:eastAsia="Arial" w:hAnsi="Arial"/>
                <w:sz w:val="18"/>
                <w:szCs w:val="18"/>
                <w:color w:val="auto"/>
                <w:w w:val="98"/>
              </w:rPr>
              <w:t>101.LAB</w:t>
            </w:r>
          </w:p>
        </w:tc>
        <w:tc>
          <w:tcPr>
            <w:tcW w:w="6760" w:type="dxa"/>
            <w:vAlign w:val="bottom"/>
            <w:gridSpan w:val="20"/>
          </w:tcPr>
          <w:p>
            <w:pPr>
              <w:spacing w:after="0"/>
              <w:rPr>
                <w:sz w:val="20"/>
                <w:szCs w:val="20"/>
                <w:color w:val="auto"/>
              </w:rPr>
            </w:pPr>
            <w:r>
              <w:rPr>
                <w:rFonts w:ascii="Arial" w:cs="Arial" w:eastAsia="Arial" w:hAnsi="Arial"/>
                <w:sz w:val="18"/>
                <w:szCs w:val="18"/>
                <w:color w:val="auto"/>
              </w:rPr>
              <w:t>XBRL Taxonomy Extension Label Linkbase Document</w:t>
            </w: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jc w:val="center"/>
              <w:ind w:left="9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38"/>
        </w:trPr>
        <w:tc>
          <w:tcPr>
            <w:tcW w:w="860" w:type="dxa"/>
            <w:vAlign w:val="bottom"/>
          </w:tcPr>
          <w:p>
            <w:pPr>
              <w:jc w:val="center"/>
              <w:ind w:right="91"/>
              <w:spacing w:after="0"/>
              <w:rPr>
                <w:sz w:val="20"/>
                <w:szCs w:val="20"/>
                <w:color w:val="auto"/>
              </w:rPr>
            </w:pPr>
            <w:r>
              <w:rPr>
                <w:rFonts w:ascii="Arial" w:cs="Arial" w:eastAsia="Arial" w:hAnsi="Arial"/>
                <w:sz w:val="18"/>
                <w:szCs w:val="18"/>
                <w:color w:val="auto"/>
                <w:w w:val="88"/>
              </w:rPr>
              <w:t>101.PRE</w:t>
            </w:r>
          </w:p>
        </w:tc>
        <w:tc>
          <w:tcPr>
            <w:tcW w:w="6760" w:type="dxa"/>
            <w:vAlign w:val="bottom"/>
            <w:gridSpan w:val="20"/>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jc w:val="center"/>
              <w:ind w:left="9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90309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81" w:lineRule="exact"/>
        <w:rPr>
          <w:sz w:val="20"/>
          <w:szCs w:val="20"/>
          <w:color w:val="auto"/>
        </w:rPr>
      </w:pPr>
    </w:p>
    <w:p>
      <w:pPr>
        <w:ind w:left="500" w:hanging="492"/>
        <w:spacing w:after="0"/>
        <w:tabs>
          <w:tab w:leader="none" w:pos="5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Indicated management contract or compensatory plan.</w:t>
      </w:r>
    </w:p>
    <w:p>
      <w:pPr>
        <w:spacing w:after="0" w:line="22" w:lineRule="exact"/>
        <w:rPr>
          <w:sz w:val="20"/>
          <w:szCs w:val="20"/>
          <w:color w:val="auto"/>
        </w:rPr>
      </w:pPr>
    </w:p>
    <w:p>
      <w:pPr>
        <w:ind w:left="500" w:right="60" w:hanging="492"/>
        <w:spacing w:after="0" w:line="302" w:lineRule="auto"/>
        <w:tabs>
          <w:tab w:leader="none" w:pos="5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certification attached as Exhibit 32.1 that accompanies this Quarterly Report on Form 10-Q is not deemed filed with the SEC and is not to be incorporated by reference into any filing of Corsair Gaming, Inc. under the Securities Act of 1933, as amended, or the Securities Exchange Act of 1934, as amended, whether made before or after the date of this Quarterly Report on Form 10-Q, irrespective of any general incorporation language contained in such filing.</w:t>
      </w:r>
    </w:p>
    <w:p>
      <w:pPr>
        <w:sectPr>
          <w:pgSz w:w="11900" w:h="16838" w:orient="portrait"/>
          <w:cols w:equalWidth="0" w:num="1">
            <w:col w:w="11160"/>
          </w:cols>
          <w:pgMar w:left="320" w:top="121" w:right="419" w:bottom="1440" w:gutter="0" w:footer="0" w:header="0"/>
        </w:sectPr>
      </w:pPr>
    </w:p>
    <w:p>
      <w:pPr>
        <w:spacing w:after="0" w:line="16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3560" w:type="dxa"/>
            <w:vAlign w:val="bottom"/>
            <w:gridSpan w:val="2"/>
          </w:tcPr>
          <w:p>
            <w:pPr>
              <w:ind w:left="2000"/>
              <w:spacing w:after="0"/>
              <w:rPr>
                <w:sz w:val="20"/>
                <w:szCs w:val="20"/>
                <w:color w:val="auto"/>
              </w:rPr>
            </w:pPr>
            <w:r>
              <w:rPr>
                <w:rFonts w:ascii="Arial" w:cs="Arial" w:eastAsia="Arial" w:hAnsi="Arial"/>
                <w:sz w:val="18"/>
                <w:szCs w:val="18"/>
                <w:color w:val="auto"/>
                <w:w w:val="93"/>
              </w:rPr>
              <w:t>Corsair Gaming, Inc.</w:t>
            </w:r>
          </w:p>
        </w:tc>
        <w:tc>
          <w:tcPr>
            <w:tcW w:w="3980" w:type="dxa"/>
            <w:vAlign w:val="bottom"/>
          </w:tcPr>
          <w:p>
            <w:pPr>
              <w:spacing w:after="0"/>
              <w:rPr>
                <w:sz w:val="20"/>
                <w:szCs w:val="20"/>
                <w:color w:val="auto"/>
              </w:rPr>
            </w:pPr>
          </w:p>
        </w:tc>
      </w:tr>
      <w:tr>
        <w:trPr>
          <w:trHeight w:val="675"/>
        </w:trPr>
        <w:tc>
          <w:tcPr>
            <w:tcW w:w="3700" w:type="dxa"/>
            <w:vAlign w:val="bottom"/>
          </w:tcPr>
          <w:p>
            <w:pPr>
              <w:spacing w:after="0"/>
              <w:rPr>
                <w:sz w:val="20"/>
                <w:szCs w:val="20"/>
                <w:color w:val="auto"/>
              </w:rPr>
            </w:pPr>
            <w:r>
              <w:rPr>
                <w:rFonts w:ascii="Arial" w:cs="Arial" w:eastAsia="Arial" w:hAnsi="Arial"/>
                <w:sz w:val="18"/>
                <w:szCs w:val="18"/>
                <w:color w:val="auto"/>
              </w:rPr>
              <w:t>Date: November 10, 2020</w:t>
            </w:r>
          </w:p>
        </w:tc>
        <w:tc>
          <w:tcPr>
            <w:tcW w:w="3560" w:type="dxa"/>
            <w:vAlign w:val="bottom"/>
            <w:gridSpan w:val="2"/>
          </w:tcPr>
          <w:p>
            <w:pPr>
              <w:ind w:left="2000"/>
              <w:spacing w:after="0"/>
              <w:rPr>
                <w:sz w:val="20"/>
                <w:szCs w:val="20"/>
                <w:color w:val="auto"/>
              </w:rPr>
            </w:pPr>
            <w:r>
              <w:rPr>
                <w:rFonts w:ascii="Arial" w:cs="Arial" w:eastAsia="Arial" w:hAnsi="Arial"/>
                <w:sz w:val="18"/>
                <w:szCs w:val="18"/>
                <w:color w:val="auto"/>
              </w:rPr>
              <w:t>By:</w:t>
            </w:r>
          </w:p>
        </w:tc>
        <w:tc>
          <w:tcPr>
            <w:tcW w:w="3980" w:type="dxa"/>
            <w:vAlign w:val="bottom"/>
          </w:tcPr>
          <w:p>
            <w:pPr>
              <w:jc w:val="center"/>
              <w:ind w:right="1150"/>
              <w:spacing w:after="0"/>
              <w:rPr>
                <w:sz w:val="20"/>
                <w:szCs w:val="20"/>
                <w:color w:val="auto"/>
              </w:rPr>
            </w:pPr>
            <w:r>
              <w:rPr>
                <w:rFonts w:ascii="Arial" w:cs="Arial" w:eastAsia="Arial" w:hAnsi="Arial"/>
                <w:sz w:val="18"/>
                <w:szCs w:val="18"/>
                <w:color w:val="auto"/>
                <w:w w:val="91"/>
              </w:rPr>
              <w:t>/s/ Michael G. Potter</w:t>
            </w:r>
          </w:p>
        </w:tc>
      </w:tr>
      <w:tr>
        <w:trPr>
          <w:trHeight w:val="222"/>
        </w:trPr>
        <w:tc>
          <w:tcPr>
            <w:tcW w:w="37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3980" w:type="dxa"/>
            <w:vAlign w:val="bottom"/>
            <w:tcBorders>
              <w:top w:val="single" w:sz="8" w:color="auto"/>
            </w:tcBorders>
          </w:tcPr>
          <w:p>
            <w:pPr>
              <w:jc w:val="center"/>
              <w:ind w:right="1170"/>
              <w:spacing w:after="0"/>
              <w:rPr>
                <w:sz w:val="20"/>
                <w:szCs w:val="20"/>
                <w:color w:val="auto"/>
              </w:rPr>
            </w:pPr>
            <w:r>
              <w:rPr>
                <w:rFonts w:ascii="Arial" w:cs="Arial" w:eastAsia="Arial" w:hAnsi="Arial"/>
                <w:sz w:val="18"/>
                <w:szCs w:val="18"/>
                <w:color w:val="auto"/>
                <w:w w:val="92"/>
              </w:rPr>
              <w:t>Michael G. Potter</w:t>
            </w:r>
          </w:p>
        </w:tc>
      </w:tr>
      <w:tr>
        <w:trPr>
          <w:trHeight w:val="216"/>
        </w:trPr>
        <w:tc>
          <w:tcPr>
            <w:tcW w:w="37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980" w:type="dxa"/>
            <w:vAlign w:val="bottom"/>
          </w:tcPr>
          <w:p>
            <w:pPr>
              <w:jc w:val="center"/>
              <w:ind w:right="1170"/>
              <w:spacing w:after="0"/>
              <w:rPr>
                <w:sz w:val="20"/>
                <w:szCs w:val="20"/>
                <w:color w:val="auto"/>
              </w:rPr>
            </w:pPr>
            <w:r>
              <w:rPr>
                <w:rFonts w:ascii="Arial" w:cs="Arial" w:eastAsia="Arial" w:hAnsi="Arial"/>
                <w:sz w:val="18"/>
                <w:szCs w:val="18"/>
                <w:color w:val="auto"/>
                <w:w w:val="92"/>
              </w:rPr>
              <w:t>Chief Financial Officer, Treasurer</w:t>
            </w:r>
          </w:p>
        </w:tc>
      </w:tr>
      <w:tr>
        <w:trPr>
          <w:trHeight w:val="230"/>
        </w:trPr>
        <w:tc>
          <w:tcPr>
            <w:tcW w:w="37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980" w:type="dxa"/>
            <w:vAlign w:val="bottom"/>
          </w:tcPr>
          <w:p>
            <w:pPr>
              <w:jc w:val="center"/>
              <w:ind w:right="1150"/>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891"/>
        </w:trPr>
        <w:tc>
          <w:tcPr>
            <w:tcW w:w="3700" w:type="dxa"/>
            <w:vAlign w:val="bottom"/>
          </w:tcPr>
          <w:p>
            <w:pPr>
              <w:spacing w:after="0"/>
              <w:rPr>
                <w:sz w:val="20"/>
                <w:szCs w:val="20"/>
                <w:color w:val="auto"/>
              </w:rPr>
            </w:pPr>
            <w:r>
              <w:rPr>
                <w:rFonts w:ascii="Arial" w:cs="Arial" w:eastAsia="Arial" w:hAnsi="Arial"/>
                <w:sz w:val="18"/>
                <w:szCs w:val="18"/>
                <w:color w:val="auto"/>
              </w:rPr>
              <w:t>Date: November 10, 2020</w:t>
            </w:r>
          </w:p>
        </w:tc>
        <w:tc>
          <w:tcPr>
            <w:tcW w:w="3560" w:type="dxa"/>
            <w:vAlign w:val="bottom"/>
            <w:gridSpan w:val="2"/>
          </w:tcPr>
          <w:p>
            <w:pPr>
              <w:ind w:left="2000"/>
              <w:spacing w:after="0"/>
              <w:rPr>
                <w:sz w:val="20"/>
                <w:szCs w:val="20"/>
                <w:color w:val="auto"/>
              </w:rPr>
            </w:pPr>
            <w:r>
              <w:rPr>
                <w:rFonts w:ascii="Arial" w:cs="Arial" w:eastAsia="Arial" w:hAnsi="Arial"/>
                <w:sz w:val="18"/>
                <w:szCs w:val="18"/>
                <w:color w:val="auto"/>
              </w:rPr>
              <w:t>By:</w:t>
            </w:r>
          </w:p>
        </w:tc>
        <w:tc>
          <w:tcPr>
            <w:tcW w:w="3980" w:type="dxa"/>
            <w:vAlign w:val="bottom"/>
          </w:tcPr>
          <w:p>
            <w:pPr>
              <w:jc w:val="center"/>
              <w:ind w:right="1150"/>
              <w:spacing w:after="0"/>
              <w:rPr>
                <w:sz w:val="20"/>
                <w:szCs w:val="20"/>
                <w:color w:val="auto"/>
              </w:rPr>
            </w:pPr>
            <w:r>
              <w:rPr>
                <w:rFonts w:ascii="Arial" w:cs="Arial" w:eastAsia="Arial" w:hAnsi="Arial"/>
                <w:sz w:val="18"/>
                <w:szCs w:val="18"/>
                <w:color w:val="auto"/>
                <w:w w:val="94"/>
              </w:rPr>
              <w:t>/s/ Gregg A. Lakritz</w:t>
            </w:r>
          </w:p>
        </w:tc>
      </w:tr>
      <w:tr>
        <w:trPr>
          <w:trHeight w:val="209"/>
        </w:trPr>
        <w:tc>
          <w:tcPr>
            <w:tcW w:w="37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980" w:type="dxa"/>
            <w:vAlign w:val="bottom"/>
            <w:tcBorders>
              <w:top w:val="single" w:sz="8" w:color="auto"/>
            </w:tcBorders>
          </w:tcPr>
          <w:p>
            <w:pPr>
              <w:jc w:val="center"/>
              <w:ind w:right="1150"/>
              <w:spacing w:after="0"/>
              <w:rPr>
                <w:sz w:val="20"/>
                <w:szCs w:val="20"/>
                <w:color w:val="auto"/>
              </w:rPr>
            </w:pPr>
            <w:r>
              <w:rPr>
                <w:rFonts w:ascii="Arial" w:cs="Arial" w:eastAsia="Arial" w:hAnsi="Arial"/>
                <w:sz w:val="18"/>
                <w:szCs w:val="18"/>
                <w:color w:val="auto"/>
                <w:w w:val="93"/>
              </w:rPr>
              <w:t>Gregg A. Lakritz</w:t>
            </w:r>
          </w:p>
        </w:tc>
      </w:tr>
      <w:tr>
        <w:trPr>
          <w:trHeight w:val="229"/>
        </w:trPr>
        <w:tc>
          <w:tcPr>
            <w:tcW w:w="37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980" w:type="dxa"/>
            <w:vAlign w:val="bottom"/>
          </w:tcPr>
          <w:p>
            <w:pPr>
              <w:jc w:val="center"/>
              <w:ind w:right="1170"/>
              <w:spacing w:after="0"/>
              <w:rPr>
                <w:sz w:val="20"/>
                <w:szCs w:val="20"/>
                <w:color w:val="auto"/>
              </w:rPr>
            </w:pPr>
            <w:r>
              <w:rPr>
                <w:rFonts w:ascii="Arial" w:cs="Arial" w:eastAsia="Arial" w:hAnsi="Arial"/>
                <w:sz w:val="18"/>
                <w:szCs w:val="18"/>
                <w:color w:val="auto"/>
                <w:w w:val="91"/>
              </w:rPr>
              <w:t>Vice President, Corporate Controller</w:t>
            </w:r>
          </w:p>
        </w:tc>
      </w:tr>
      <w:tr>
        <w:trPr>
          <w:trHeight w:val="230"/>
        </w:trPr>
        <w:tc>
          <w:tcPr>
            <w:tcW w:w="37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980" w:type="dxa"/>
            <w:vAlign w:val="bottom"/>
          </w:tcPr>
          <w:p>
            <w:pPr>
              <w:jc w:val="center"/>
              <w:ind w:right="1150"/>
              <w:spacing w:after="0"/>
              <w:rPr>
                <w:sz w:val="20"/>
                <w:szCs w:val="20"/>
                <w:color w:val="auto"/>
              </w:rPr>
            </w:pPr>
            <w:r>
              <w:rPr>
                <w:rFonts w:ascii="Arial" w:cs="Arial" w:eastAsia="Arial" w:hAnsi="Arial"/>
                <w:sz w:val="18"/>
                <w:szCs w:val="18"/>
                <w:i w:val="1"/>
                <w:iCs w:val="1"/>
                <w:color w:val="auto"/>
                <w:w w:val="95"/>
              </w:rPr>
              <w:t>(Principal Accounting Officer)</w:t>
            </w:r>
          </w:p>
        </w:tc>
      </w:tr>
      <w:tr>
        <w:trPr>
          <w:trHeight w:val="648"/>
        </w:trPr>
        <w:tc>
          <w:tcPr>
            <w:tcW w:w="3700" w:type="dxa"/>
            <w:vAlign w:val="bottom"/>
          </w:tcPr>
          <w:p>
            <w:pPr>
              <w:spacing w:after="0"/>
              <w:rPr>
                <w:sz w:val="24"/>
                <w:szCs w:val="24"/>
                <w:color w:val="auto"/>
              </w:rPr>
            </w:pPr>
          </w:p>
        </w:tc>
        <w:tc>
          <w:tcPr>
            <w:tcW w:w="2320" w:type="dxa"/>
            <w:vAlign w:val="bottom"/>
          </w:tcPr>
          <w:p>
            <w:pPr>
              <w:jc w:val="right"/>
              <w:ind w:right="210"/>
              <w:spacing w:after="0"/>
              <w:rPr>
                <w:sz w:val="20"/>
                <w:szCs w:val="20"/>
                <w:color w:val="auto"/>
              </w:rPr>
            </w:pPr>
            <w:r>
              <w:rPr>
                <w:rFonts w:ascii="Arial" w:cs="Arial" w:eastAsia="Arial" w:hAnsi="Arial"/>
                <w:sz w:val="18"/>
                <w:szCs w:val="18"/>
                <w:color w:val="auto"/>
              </w:rPr>
              <w:t>74</w:t>
            </w:r>
          </w:p>
        </w:tc>
        <w:tc>
          <w:tcPr>
            <w:tcW w:w="1240" w:type="dxa"/>
            <w:vAlign w:val="bottom"/>
          </w:tcPr>
          <w:p>
            <w:pPr>
              <w:spacing w:after="0"/>
              <w:rPr>
                <w:sz w:val="24"/>
                <w:szCs w:val="24"/>
                <w:color w:val="auto"/>
              </w:rPr>
            </w:pPr>
          </w:p>
        </w:tc>
        <w:tc>
          <w:tcPr>
            <w:tcW w:w="398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INVESTOR RIGHTS AGREEMENT</w:t>
      </w:r>
    </w:p>
    <w:p>
      <w:pPr>
        <w:spacing w:after="0" w:line="22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by and among</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CORSAIR GAMING, INC.</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CORSAIR GROUP (CAYMAN),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323215</wp:posOffset>
            </wp:positionV>
            <wp:extent cx="228028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3">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Dated September 22,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332105</wp:posOffset>
            </wp:positionV>
            <wp:extent cx="228028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4">
                      <a:extLst>
                        <a:ext uri="{28A0092B-C50C-407E-A947-70E740481C1C}"/>
                      </a:extLst>
                    </a:blip>
                    <a:srcRect/>
                    <a:stretch>
                      <a:fillRect/>
                    </a:stretch>
                  </pic:blipFill>
                  <pic:spPr bwMode="auto">
                    <a:xfrm>
                      <a:off x="0" y="0"/>
                      <a:ext cx="2280285"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1026160</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6620" w:type="dxa"/>
            <w:vAlign w:val="bottom"/>
          </w:tcPr>
          <w:p>
            <w:pPr>
              <w:jc w:val="right"/>
              <w:ind w:right="4570"/>
              <w:spacing w:after="0"/>
              <w:rPr>
                <w:sz w:val="20"/>
                <w:szCs w:val="20"/>
                <w:color w:val="auto"/>
              </w:rPr>
            </w:pPr>
            <w:r>
              <w:rPr>
                <w:rFonts w:ascii="Arial" w:cs="Arial" w:eastAsia="Arial" w:hAnsi="Arial"/>
                <w:sz w:val="18"/>
                <w:szCs w:val="18"/>
                <w:b w:val="1"/>
                <w:bCs w:val="1"/>
                <w:color w:val="auto"/>
                <w:w w:val="99"/>
              </w:rPr>
              <w:t>TABLE OF CONTENTS</w:t>
            </w:r>
          </w:p>
        </w:tc>
      </w:tr>
      <w:tr>
        <w:trPr>
          <w:trHeight w:val="459"/>
        </w:trPr>
        <w:tc>
          <w:tcPr>
            <w:tcW w:w="12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662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338"/>
        </w:trPr>
        <w:tc>
          <w:tcPr>
            <w:tcW w:w="1260" w:type="dxa"/>
            <w:vAlign w:val="bottom"/>
          </w:tcPr>
          <w:p>
            <w:pPr>
              <w:spacing w:after="0"/>
              <w:rPr>
                <w:sz w:val="20"/>
                <w:szCs w:val="20"/>
                <w:color w:val="auto"/>
              </w:rPr>
            </w:pPr>
            <w:r>
              <w:rPr>
                <w:rFonts w:ascii="Arial" w:cs="Arial" w:eastAsia="Arial" w:hAnsi="Arial"/>
                <w:sz w:val="18"/>
                <w:szCs w:val="18"/>
                <w:color w:val="auto"/>
              </w:rPr>
              <w:t>ARTICLE I</w:t>
            </w:r>
          </w:p>
        </w:tc>
        <w:tc>
          <w:tcPr>
            <w:tcW w:w="3360" w:type="dxa"/>
            <w:vAlign w:val="bottom"/>
          </w:tcPr>
          <w:p>
            <w:pPr>
              <w:ind w:left="280"/>
              <w:spacing w:after="0"/>
              <w:rPr>
                <w:sz w:val="20"/>
                <w:szCs w:val="20"/>
                <w:color w:val="auto"/>
              </w:rPr>
            </w:pPr>
            <w:r>
              <w:rPr>
                <w:rFonts w:ascii="Arial" w:cs="Arial" w:eastAsia="Arial" w:hAnsi="Arial"/>
                <w:sz w:val="18"/>
                <w:szCs w:val="18"/>
                <w:color w:val="auto"/>
              </w:rPr>
              <w:t>INTRODUCTORY MATTERS</w:t>
            </w:r>
          </w:p>
        </w:tc>
        <w:tc>
          <w:tcPr>
            <w:tcW w:w="6620" w:type="dxa"/>
            <w:vAlign w:val="bottom"/>
          </w:tcPr>
          <w:p>
            <w:pPr>
              <w:jc w:val="right"/>
              <w:ind w:right="370"/>
              <w:spacing w:after="0"/>
              <w:rPr>
                <w:sz w:val="20"/>
                <w:szCs w:val="20"/>
                <w:color w:val="auto"/>
              </w:rPr>
            </w:pPr>
            <w:r>
              <w:rPr>
                <w:rFonts w:ascii="Arial" w:cs="Arial" w:eastAsia="Arial" w:hAnsi="Arial"/>
                <w:sz w:val="18"/>
                <w:szCs w:val="18"/>
                <w:color w:val="auto"/>
              </w:rPr>
              <w:t>1</w:t>
            </w:r>
          </w:p>
        </w:tc>
      </w:tr>
      <w:tr>
        <w:trPr>
          <w:trHeight w:val="338"/>
        </w:trPr>
        <w:tc>
          <w:tcPr>
            <w:tcW w:w="1260" w:type="dxa"/>
            <w:vAlign w:val="bottom"/>
          </w:tcPr>
          <w:p>
            <w:pPr>
              <w:ind w:left="340"/>
              <w:spacing w:after="0"/>
              <w:rPr>
                <w:sz w:val="20"/>
                <w:szCs w:val="20"/>
                <w:color w:val="auto"/>
              </w:rPr>
            </w:pPr>
            <w:r>
              <w:rPr>
                <w:rFonts w:ascii="Arial" w:cs="Arial" w:eastAsia="Arial" w:hAnsi="Arial"/>
                <w:sz w:val="18"/>
                <w:szCs w:val="18"/>
                <w:color w:val="auto"/>
              </w:rPr>
              <w:t>1.1</w:t>
            </w:r>
          </w:p>
        </w:tc>
        <w:tc>
          <w:tcPr>
            <w:tcW w:w="3360" w:type="dxa"/>
            <w:vAlign w:val="bottom"/>
          </w:tcPr>
          <w:p>
            <w:pPr>
              <w:ind w:left="280"/>
              <w:spacing w:after="0"/>
              <w:rPr>
                <w:sz w:val="20"/>
                <w:szCs w:val="20"/>
                <w:color w:val="auto"/>
              </w:rPr>
            </w:pPr>
            <w:r>
              <w:rPr>
                <w:rFonts w:ascii="Arial" w:cs="Arial" w:eastAsia="Arial" w:hAnsi="Arial"/>
                <w:sz w:val="18"/>
                <w:szCs w:val="18"/>
                <w:color w:val="auto"/>
              </w:rPr>
              <w:t>Defined Terms</w:t>
            </w:r>
          </w:p>
        </w:tc>
        <w:tc>
          <w:tcPr>
            <w:tcW w:w="6620" w:type="dxa"/>
            <w:vAlign w:val="bottom"/>
          </w:tcPr>
          <w:p>
            <w:pPr>
              <w:jc w:val="right"/>
              <w:ind w:right="370"/>
              <w:spacing w:after="0"/>
              <w:rPr>
                <w:sz w:val="20"/>
                <w:szCs w:val="20"/>
                <w:color w:val="auto"/>
              </w:rPr>
            </w:pPr>
            <w:r>
              <w:rPr>
                <w:rFonts w:ascii="Arial" w:cs="Arial" w:eastAsia="Arial" w:hAnsi="Arial"/>
                <w:sz w:val="18"/>
                <w:szCs w:val="18"/>
                <w:color w:val="auto"/>
              </w:rPr>
              <w:t>1</w:t>
            </w:r>
          </w:p>
        </w:tc>
      </w:tr>
      <w:tr>
        <w:trPr>
          <w:trHeight w:val="338"/>
        </w:trPr>
        <w:tc>
          <w:tcPr>
            <w:tcW w:w="1260" w:type="dxa"/>
            <w:vAlign w:val="bottom"/>
          </w:tcPr>
          <w:p>
            <w:pPr>
              <w:ind w:left="340"/>
              <w:spacing w:after="0"/>
              <w:rPr>
                <w:sz w:val="20"/>
                <w:szCs w:val="20"/>
                <w:color w:val="auto"/>
              </w:rPr>
            </w:pPr>
            <w:r>
              <w:rPr>
                <w:rFonts w:ascii="Arial" w:cs="Arial" w:eastAsia="Arial" w:hAnsi="Arial"/>
                <w:sz w:val="18"/>
                <w:szCs w:val="18"/>
                <w:color w:val="auto"/>
              </w:rPr>
              <w:t>1.2</w:t>
            </w:r>
          </w:p>
        </w:tc>
        <w:tc>
          <w:tcPr>
            <w:tcW w:w="3360" w:type="dxa"/>
            <w:vAlign w:val="bottom"/>
          </w:tcPr>
          <w:p>
            <w:pPr>
              <w:ind w:left="280"/>
              <w:spacing w:after="0"/>
              <w:rPr>
                <w:sz w:val="20"/>
                <w:szCs w:val="20"/>
                <w:color w:val="auto"/>
              </w:rPr>
            </w:pPr>
            <w:r>
              <w:rPr>
                <w:rFonts w:ascii="Arial" w:cs="Arial" w:eastAsia="Arial" w:hAnsi="Arial"/>
                <w:sz w:val="18"/>
                <w:szCs w:val="18"/>
                <w:color w:val="auto"/>
              </w:rPr>
              <w:t>Construction</w:t>
            </w:r>
          </w:p>
        </w:tc>
        <w:tc>
          <w:tcPr>
            <w:tcW w:w="6620" w:type="dxa"/>
            <w:vAlign w:val="bottom"/>
          </w:tcPr>
          <w:p>
            <w:pPr>
              <w:jc w:val="right"/>
              <w:ind w:right="370"/>
              <w:spacing w:after="0"/>
              <w:rPr>
                <w:sz w:val="20"/>
                <w:szCs w:val="20"/>
                <w:color w:val="auto"/>
              </w:rPr>
            </w:pPr>
            <w:r>
              <w:rPr>
                <w:rFonts w:ascii="Arial" w:cs="Arial" w:eastAsia="Arial" w:hAnsi="Arial"/>
                <w:sz w:val="18"/>
                <w:szCs w:val="18"/>
                <w:color w:val="auto"/>
              </w:rPr>
              <w:t>2</w:t>
            </w:r>
          </w:p>
        </w:tc>
      </w:tr>
      <w:tr>
        <w:trPr>
          <w:trHeight w:val="338"/>
        </w:trPr>
        <w:tc>
          <w:tcPr>
            <w:tcW w:w="1260" w:type="dxa"/>
            <w:vAlign w:val="bottom"/>
          </w:tcPr>
          <w:p>
            <w:pPr>
              <w:spacing w:after="0"/>
              <w:rPr>
                <w:sz w:val="20"/>
                <w:szCs w:val="20"/>
                <w:color w:val="auto"/>
              </w:rPr>
            </w:pPr>
            <w:r>
              <w:rPr>
                <w:rFonts w:ascii="Arial" w:cs="Arial" w:eastAsia="Arial" w:hAnsi="Arial"/>
                <w:sz w:val="18"/>
                <w:szCs w:val="18"/>
                <w:color w:val="auto"/>
              </w:rPr>
              <w:t>ARTICLE II</w:t>
            </w:r>
          </w:p>
        </w:tc>
        <w:tc>
          <w:tcPr>
            <w:tcW w:w="3360" w:type="dxa"/>
            <w:vAlign w:val="bottom"/>
          </w:tcPr>
          <w:p>
            <w:pPr>
              <w:ind w:left="280"/>
              <w:spacing w:after="0"/>
              <w:rPr>
                <w:sz w:val="20"/>
                <w:szCs w:val="20"/>
                <w:color w:val="auto"/>
              </w:rPr>
            </w:pPr>
            <w:r>
              <w:rPr>
                <w:rFonts w:ascii="Arial" w:cs="Arial" w:eastAsia="Arial" w:hAnsi="Arial"/>
                <w:sz w:val="18"/>
                <w:szCs w:val="18"/>
                <w:color w:val="auto"/>
              </w:rPr>
              <w:t>BOARD OF DIRECTORS</w:t>
            </w:r>
          </w:p>
        </w:tc>
        <w:tc>
          <w:tcPr>
            <w:tcW w:w="6620" w:type="dxa"/>
            <w:vAlign w:val="bottom"/>
          </w:tcPr>
          <w:p>
            <w:pPr>
              <w:jc w:val="right"/>
              <w:ind w:right="370"/>
              <w:spacing w:after="0"/>
              <w:rPr>
                <w:sz w:val="20"/>
                <w:szCs w:val="20"/>
                <w:color w:val="auto"/>
              </w:rPr>
            </w:pPr>
            <w:r>
              <w:rPr>
                <w:rFonts w:ascii="Arial" w:cs="Arial" w:eastAsia="Arial" w:hAnsi="Arial"/>
                <w:sz w:val="18"/>
                <w:szCs w:val="18"/>
                <w:color w:val="auto"/>
              </w:rPr>
              <w:t>3</w:t>
            </w:r>
          </w:p>
        </w:tc>
      </w:tr>
      <w:tr>
        <w:trPr>
          <w:trHeight w:val="338"/>
        </w:trPr>
        <w:tc>
          <w:tcPr>
            <w:tcW w:w="1260" w:type="dxa"/>
            <w:vAlign w:val="bottom"/>
          </w:tcPr>
          <w:p>
            <w:pPr>
              <w:ind w:left="340"/>
              <w:spacing w:after="0"/>
              <w:rPr>
                <w:sz w:val="20"/>
                <w:szCs w:val="20"/>
                <w:color w:val="auto"/>
              </w:rPr>
            </w:pPr>
            <w:r>
              <w:rPr>
                <w:rFonts w:ascii="Arial" w:cs="Arial" w:eastAsia="Arial" w:hAnsi="Arial"/>
                <w:sz w:val="18"/>
                <w:szCs w:val="18"/>
                <w:color w:val="auto"/>
              </w:rPr>
              <w:t>2.1</w:t>
            </w:r>
          </w:p>
        </w:tc>
        <w:tc>
          <w:tcPr>
            <w:tcW w:w="3360" w:type="dxa"/>
            <w:vAlign w:val="bottom"/>
          </w:tcPr>
          <w:p>
            <w:pPr>
              <w:ind w:left="280"/>
              <w:spacing w:after="0"/>
              <w:rPr>
                <w:sz w:val="20"/>
                <w:szCs w:val="20"/>
                <w:color w:val="auto"/>
              </w:rPr>
            </w:pPr>
            <w:r>
              <w:rPr>
                <w:rFonts w:ascii="Arial" w:cs="Arial" w:eastAsia="Arial" w:hAnsi="Arial"/>
                <w:sz w:val="18"/>
                <w:szCs w:val="18"/>
                <w:color w:val="auto"/>
              </w:rPr>
              <w:t>Election of Directors</w:t>
            </w:r>
          </w:p>
        </w:tc>
        <w:tc>
          <w:tcPr>
            <w:tcW w:w="6620" w:type="dxa"/>
            <w:vAlign w:val="bottom"/>
          </w:tcPr>
          <w:p>
            <w:pPr>
              <w:jc w:val="right"/>
              <w:ind w:right="370"/>
              <w:spacing w:after="0"/>
              <w:rPr>
                <w:sz w:val="20"/>
                <w:szCs w:val="20"/>
                <w:color w:val="auto"/>
              </w:rPr>
            </w:pPr>
            <w:r>
              <w:rPr>
                <w:rFonts w:ascii="Arial" w:cs="Arial" w:eastAsia="Arial" w:hAnsi="Arial"/>
                <w:sz w:val="18"/>
                <w:szCs w:val="18"/>
                <w:color w:val="auto"/>
              </w:rPr>
              <w:t>3</w:t>
            </w:r>
          </w:p>
        </w:tc>
      </w:tr>
      <w:tr>
        <w:trPr>
          <w:trHeight w:val="338"/>
        </w:trPr>
        <w:tc>
          <w:tcPr>
            <w:tcW w:w="1260" w:type="dxa"/>
            <w:vAlign w:val="bottom"/>
          </w:tcPr>
          <w:p>
            <w:pPr>
              <w:ind w:left="340"/>
              <w:spacing w:after="0"/>
              <w:rPr>
                <w:sz w:val="20"/>
                <w:szCs w:val="20"/>
                <w:color w:val="auto"/>
              </w:rPr>
            </w:pPr>
            <w:r>
              <w:rPr>
                <w:rFonts w:ascii="Arial" w:cs="Arial" w:eastAsia="Arial" w:hAnsi="Arial"/>
                <w:sz w:val="18"/>
                <w:szCs w:val="18"/>
                <w:color w:val="auto"/>
              </w:rPr>
              <w:t>2.2</w:t>
            </w:r>
          </w:p>
        </w:tc>
        <w:tc>
          <w:tcPr>
            <w:tcW w:w="3360" w:type="dxa"/>
            <w:vAlign w:val="bottom"/>
          </w:tcPr>
          <w:p>
            <w:pPr>
              <w:ind w:left="280"/>
              <w:spacing w:after="0"/>
              <w:rPr>
                <w:sz w:val="20"/>
                <w:szCs w:val="20"/>
                <w:color w:val="auto"/>
              </w:rPr>
            </w:pPr>
            <w:r>
              <w:rPr>
                <w:rFonts w:ascii="Arial" w:cs="Arial" w:eastAsia="Arial" w:hAnsi="Arial"/>
                <w:sz w:val="18"/>
                <w:szCs w:val="18"/>
                <w:color w:val="auto"/>
              </w:rPr>
              <w:t>Committee Membership</w:t>
            </w:r>
          </w:p>
        </w:tc>
        <w:tc>
          <w:tcPr>
            <w:tcW w:w="6620" w:type="dxa"/>
            <w:vAlign w:val="bottom"/>
          </w:tcPr>
          <w:p>
            <w:pPr>
              <w:jc w:val="right"/>
              <w:ind w:right="370"/>
              <w:spacing w:after="0"/>
              <w:rPr>
                <w:sz w:val="20"/>
                <w:szCs w:val="20"/>
                <w:color w:val="auto"/>
              </w:rPr>
            </w:pPr>
            <w:r>
              <w:rPr>
                <w:rFonts w:ascii="Arial" w:cs="Arial" w:eastAsia="Arial" w:hAnsi="Arial"/>
                <w:sz w:val="18"/>
                <w:szCs w:val="18"/>
                <w:color w:val="auto"/>
              </w:rPr>
              <w:t>4</w:t>
            </w:r>
          </w:p>
        </w:tc>
      </w:tr>
      <w:tr>
        <w:trPr>
          <w:trHeight w:val="338"/>
        </w:trPr>
        <w:tc>
          <w:tcPr>
            <w:tcW w:w="1260" w:type="dxa"/>
            <w:vAlign w:val="bottom"/>
          </w:tcPr>
          <w:p>
            <w:pPr>
              <w:ind w:left="340"/>
              <w:spacing w:after="0"/>
              <w:rPr>
                <w:sz w:val="20"/>
                <w:szCs w:val="20"/>
                <w:color w:val="auto"/>
              </w:rPr>
            </w:pPr>
            <w:r>
              <w:rPr>
                <w:rFonts w:ascii="Arial" w:cs="Arial" w:eastAsia="Arial" w:hAnsi="Arial"/>
                <w:sz w:val="18"/>
                <w:szCs w:val="18"/>
                <w:color w:val="auto"/>
              </w:rPr>
              <w:t>2.3</w:t>
            </w:r>
          </w:p>
        </w:tc>
        <w:tc>
          <w:tcPr>
            <w:tcW w:w="3360" w:type="dxa"/>
            <w:vAlign w:val="bottom"/>
          </w:tcPr>
          <w:p>
            <w:pPr>
              <w:ind w:left="280"/>
              <w:spacing w:after="0"/>
              <w:rPr>
                <w:sz w:val="20"/>
                <w:szCs w:val="20"/>
                <w:color w:val="auto"/>
              </w:rPr>
            </w:pPr>
            <w:r>
              <w:rPr>
                <w:rFonts w:ascii="Arial" w:cs="Arial" w:eastAsia="Arial" w:hAnsi="Arial"/>
                <w:sz w:val="18"/>
                <w:szCs w:val="18"/>
                <w:color w:val="auto"/>
              </w:rPr>
              <w:t>Chairman of the Board</w:t>
            </w:r>
          </w:p>
        </w:tc>
        <w:tc>
          <w:tcPr>
            <w:tcW w:w="6620" w:type="dxa"/>
            <w:vAlign w:val="bottom"/>
          </w:tcPr>
          <w:p>
            <w:pPr>
              <w:jc w:val="right"/>
              <w:ind w:right="370"/>
              <w:spacing w:after="0"/>
              <w:rPr>
                <w:sz w:val="20"/>
                <w:szCs w:val="20"/>
                <w:color w:val="auto"/>
              </w:rPr>
            </w:pPr>
            <w:r>
              <w:rPr>
                <w:rFonts w:ascii="Arial" w:cs="Arial" w:eastAsia="Arial" w:hAnsi="Arial"/>
                <w:sz w:val="18"/>
                <w:szCs w:val="18"/>
                <w:color w:val="auto"/>
              </w:rPr>
              <w:t>4</w:t>
            </w:r>
          </w:p>
        </w:tc>
      </w:tr>
      <w:tr>
        <w:trPr>
          <w:trHeight w:val="338"/>
        </w:trPr>
        <w:tc>
          <w:tcPr>
            <w:tcW w:w="1260" w:type="dxa"/>
            <w:vAlign w:val="bottom"/>
          </w:tcPr>
          <w:p>
            <w:pPr>
              <w:ind w:left="340"/>
              <w:spacing w:after="0"/>
              <w:rPr>
                <w:sz w:val="20"/>
                <w:szCs w:val="20"/>
                <w:color w:val="auto"/>
              </w:rPr>
            </w:pPr>
            <w:r>
              <w:rPr>
                <w:rFonts w:ascii="Arial" w:cs="Arial" w:eastAsia="Arial" w:hAnsi="Arial"/>
                <w:sz w:val="18"/>
                <w:szCs w:val="18"/>
                <w:color w:val="auto"/>
              </w:rPr>
              <w:t>2.4</w:t>
            </w:r>
          </w:p>
        </w:tc>
        <w:tc>
          <w:tcPr>
            <w:tcW w:w="3360" w:type="dxa"/>
            <w:vAlign w:val="bottom"/>
          </w:tcPr>
          <w:p>
            <w:pPr>
              <w:ind w:left="280"/>
              <w:spacing w:after="0"/>
              <w:rPr>
                <w:sz w:val="20"/>
                <w:szCs w:val="20"/>
                <w:color w:val="auto"/>
              </w:rPr>
            </w:pPr>
            <w:r>
              <w:rPr>
                <w:rFonts w:ascii="Arial" w:cs="Arial" w:eastAsia="Arial" w:hAnsi="Arial"/>
                <w:sz w:val="18"/>
                <w:szCs w:val="18"/>
                <w:color w:val="auto"/>
              </w:rPr>
              <w:t>Size of Board</w:t>
            </w:r>
          </w:p>
        </w:tc>
        <w:tc>
          <w:tcPr>
            <w:tcW w:w="6620" w:type="dxa"/>
            <w:vAlign w:val="bottom"/>
          </w:tcPr>
          <w:p>
            <w:pPr>
              <w:jc w:val="right"/>
              <w:ind w:right="370"/>
              <w:spacing w:after="0"/>
              <w:rPr>
                <w:sz w:val="20"/>
                <w:szCs w:val="20"/>
                <w:color w:val="auto"/>
              </w:rPr>
            </w:pPr>
            <w:r>
              <w:rPr>
                <w:rFonts w:ascii="Arial" w:cs="Arial" w:eastAsia="Arial" w:hAnsi="Arial"/>
                <w:sz w:val="18"/>
                <w:szCs w:val="18"/>
                <w:color w:val="auto"/>
              </w:rPr>
              <w:t>4</w:t>
            </w:r>
          </w:p>
        </w:tc>
      </w:tr>
      <w:tr>
        <w:trPr>
          <w:trHeight w:val="337"/>
        </w:trPr>
        <w:tc>
          <w:tcPr>
            <w:tcW w:w="1260" w:type="dxa"/>
            <w:vAlign w:val="bottom"/>
          </w:tcPr>
          <w:p>
            <w:pPr>
              <w:ind w:left="340"/>
              <w:spacing w:after="0"/>
              <w:rPr>
                <w:sz w:val="20"/>
                <w:szCs w:val="20"/>
                <w:color w:val="auto"/>
              </w:rPr>
            </w:pPr>
            <w:r>
              <w:rPr>
                <w:rFonts w:ascii="Arial" w:cs="Arial" w:eastAsia="Arial" w:hAnsi="Arial"/>
                <w:sz w:val="18"/>
                <w:szCs w:val="18"/>
                <w:color w:val="auto"/>
              </w:rPr>
              <w:t>2.5</w:t>
            </w:r>
          </w:p>
        </w:tc>
        <w:tc>
          <w:tcPr>
            <w:tcW w:w="3360" w:type="dxa"/>
            <w:vAlign w:val="bottom"/>
          </w:tcPr>
          <w:p>
            <w:pPr>
              <w:ind w:left="280"/>
              <w:spacing w:after="0"/>
              <w:rPr>
                <w:sz w:val="20"/>
                <w:szCs w:val="20"/>
                <w:color w:val="auto"/>
              </w:rPr>
            </w:pPr>
            <w:r>
              <w:rPr>
                <w:rFonts w:ascii="Arial" w:cs="Arial" w:eastAsia="Arial" w:hAnsi="Arial"/>
                <w:sz w:val="18"/>
                <w:szCs w:val="18"/>
                <w:color w:val="auto"/>
                <w:w w:val="96"/>
              </w:rPr>
              <w:t>Amendments to the Charter and Bylaws</w:t>
            </w:r>
          </w:p>
        </w:tc>
        <w:tc>
          <w:tcPr>
            <w:tcW w:w="6620" w:type="dxa"/>
            <w:vAlign w:val="bottom"/>
          </w:tcPr>
          <w:p>
            <w:pPr>
              <w:jc w:val="right"/>
              <w:ind w:right="370"/>
              <w:spacing w:after="0"/>
              <w:rPr>
                <w:sz w:val="20"/>
                <w:szCs w:val="20"/>
                <w:color w:val="auto"/>
              </w:rPr>
            </w:pPr>
            <w:r>
              <w:rPr>
                <w:rFonts w:ascii="Arial" w:cs="Arial" w:eastAsia="Arial" w:hAnsi="Arial"/>
                <w:sz w:val="18"/>
                <w:szCs w:val="18"/>
                <w:color w:val="auto"/>
              </w:rPr>
              <w:t>4</w:t>
            </w:r>
          </w:p>
        </w:tc>
      </w:tr>
      <w:tr>
        <w:trPr>
          <w:trHeight w:val="338"/>
        </w:trPr>
        <w:tc>
          <w:tcPr>
            <w:tcW w:w="1260" w:type="dxa"/>
            <w:vAlign w:val="bottom"/>
          </w:tcPr>
          <w:p>
            <w:pPr>
              <w:ind w:left="340"/>
              <w:spacing w:after="0"/>
              <w:rPr>
                <w:sz w:val="20"/>
                <w:szCs w:val="20"/>
                <w:color w:val="auto"/>
              </w:rPr>
            </w:pPr>
            <w:r>
              <w:rPr>
                <w:rFonts w:ascii="Arial" w:cs="Arial" w:eastAsia="Arial" w:hAnsi="Arial"/>
                <w:sz w:val="18"/>
                <w:szCs w:val="18"/>
                <w:color w:val="auto"/>
              </w:rPr>
              <w:t>2.6</w:t>
            </w:r>
          </w:p>
        </w:tc>
        <w:tc>
          <w:tcPr>
            <w:tcW w:w="3360" w:type="dxa"/>
            <w:vAlign w:val="bottom"/>
          </w:tcPr>
          <w:p>
            <w:pPr>
              <w:ind w:left="280"/>
              <w:spacing w:after="0"/>
              <w:rPr>
                <w:sz w:val="20"/>
                <w:szCs w:val="20"/>
                <w:color w:val="auto"/>
              </w:rPr>
            </w:pPr>
            <w:r>
              <w:rPr>
                <w:rFonts w:ascii="Arial" w:cs="Arial" w:eastAsia="Arial" w:hAnsi="Arial"/>
                <w:sz w:val="18"/>
                <w:szCs w:val="18"/>
                <w:color w:val="auto"/>
              </w:rPr>
              <w:t>Fees</w:t>
            </w:r>
          </w:p>
        </w:tc>
        <w:tc>
          <w:tcPr>
            <w:tcW w:w="6620" w:type="dxa"/>
            <w:vAlign w:val="bottom"/>
          </w:tcPr>
          <w:p>
            <w:pPr>
              <w:jc w:val="right"/>
              <w:ind w:right="370"/>
              <w:spacing w:after="0"/>
              <w:rPr>
                <w:sz w:val="20"/>
                <w:szCs w:val="20"/>
                <w:color w:val="auto"/>
              </w:rPr>
            </w:pPr>
            <w:r>
              <w:rPr>
                <w:rFonts w:ascii="Arial" w:cs="Arial" w:eastAsia="Arial" w:hAnsi="Arial"/>
                <w:sz w:val="18"/>
                <w:szCs w:val="18"/>
                <w:color w:val="auto"/>
              </w:rPr>
              <w:t>4</w:t>
            </w:r>
          </w:p>
        </w:tc>
      </w:tr>
      <w:tr>
        <w:trPr>
          <w:trHeight w:val="338"/>
        </w:trPr>
        <w:tc>
          <w:tcPr>
            <w:tcW w:w="1260" w:type="dxa"/>
            <w:vAlign w:val="bottom"/>
          </w:tcPr>
          <w:p>
            <w:pPr>
              <w:spacing w:after="0"/>
              <w:rPr>
                <w:sz w:val="20"/>
                <w:szCs w:val="20"/>
                <w:color w:val="auto"/>
              </w:rPr>
            </w:pPr>
            <w:r>
              <w:rPr>
                <w:rFonts w:ascii="Arial" w:cs="Arial" w:eastAsia="Arial" w:hAnsi="Arial"/>
                <w:sz w:val="18"/>
                <w:szCs w:val="18"/>
                <w:color w:val="auto"/>
              </w:rPr>
              <w:t>ARTICLE III</w:t>
            </w:r>
          </w:p>
        </w:tc>
        <w:tc>
          <w:tcPr>
            <w:tcW w:w="3360" w:type="dxa"/>
            <w:vAlign w:val="bottom"/>
          </w:tcPr>
          <w:p>
            <w:pPr>
              <w:ind w:left="280"/>
              <w:spacing w:after="0"/>
              <w:rPr>
                <w:sz w:val="20"/>
                <w:szCs w:val="20"/>
                <w:color w:val="auto"/>
              </w:rPr>
            </w:pPr>
            <w:r>
              <w:rPr>
                <w:rFonts w:ascii="Arial" w:cs="Arial" w:eastAsia="Arial" w:hAnsi="Arial"/>
                <w:sz w:val="18"/>
                <w:szCs w:val="18"/>
                <w:color w:val="auto"/>
              </w:rPr>
              <w:t>INFORMATION</w:t>
            </w:r>
          </w:p>
        </w:tc>
        <w:tc>
          <w:tcPr>
            <w:tcW w:w="6620" w:type="dxa"/>
            <w:vAlign w:val="bottom"/>
          </w:tcPr>
          <w:p>
            <w:pPr>
              <w:jc w:val="right"/>
              <w:ind w:right="370"/>
              <w:spacing w:after="0"/>
              <w:rPr>
                <w:sz w:val="20"/>
                <w:szCs w:val="20"/>
                <w:color w:val="auto"/>
              </w:rPr>
            </w:pPr>
            <w:r>
              <w:rPr>
                <w:rFonts w:ascii="Arial" w:cs="Arial" w:eastAsia="Arial" w:hAnsi="Arial"/>
                <w:sz w:val="18"/>
                <w:szCs w:val="18"/>
                <w:color w:val="auto"/>
              </w:rPr>
              <w:t>5</w:t>
            </w:r>
          </w:p>
        </w:tc>
      </w:tr>
      <w:tr>
        <w:trPr>
          <w:trHeight w:val="338"/>
        </w:trPr>
        <w:tc>
          <w:tcPr>
            <w:tcW w:w="1260" w:type="dxa"/>
            <w:vAlign w:val="bottom"/>
          </w:tcPr>
          <w:p>
            <w:pPr>
              <w:ind w:left="340"/>
              <w:spacing w:after="0"/>
              <w:rPr>
                <w:sz w:val="20"/>
                <w:szCs w:val="20"/>
                <w:color w:val="auto"/>
              </w:rPr>
            </w:pPr>
            <w:r>
              <w:rPr>
                <w:rFonts w:ascii="Arial" w:cs="Arial" w:eastAsia="Arial" w:hAnsi="Arial"/>
                <w:sz w:val="18"/>
                <w:szCs w:val="18"/>
                <w:color w:val="auto"/>
              </w:rPr>
              <w:t>3.1</w:t>
            </w:r>
          </w:p>
        </w:tc>
        <w:tc>
          <w:tcPr>
            <w:tcW w:w="3360" w:type="dxa"/>
            <w:vAlign w:val="bottom"/>
          </w:tcPr>
          <w:p>
            <w:pPr>
              <w:ind w:left="280"/>
              <w:spacing w:after="0"/>
              <w:rPr>
                <w:sz w:val="20"/>
                <w:szCs w:val="20"/>
                <w:color w:val="auto"/>
              </w:rPr>
            </w:pPr>
            <w:r>
              <w:rPr>
                <w:rFonts w:ascii="Arial" w:cs="Arial" w:eastAsia="Arial" w:hAnsi="Arial"/>
                <w:sz w:val="18"/>
                <w:szCs w:val="18"/>
                <w:color w:val="auto"/>
              </w:rPr>
              <w:t>Books and Records; Access</w:t>
            </w:r>
          </w:p>
        </w:tc>
        <w:tc>
          <w:tcPr>
            <w:tcW w:w="6620" w:type="dxa"/>
            <w:vAlign w:val="bottom"/>
          </w:tcPr>
          <w:p>
            <w:pPr>
              <w:jc w:val="right"/>
              <w:ind w:right="370"/>
              <w:spacing w:after="0"/>
              <w:rPr>
                <w:sz w:val="20"/>
                <w:szCs w:val="20"/>
                <w:color w:val="auto"/>
              </w:rPr>
            </w:pPr>
            <w:r>
              <w:rPr>
                <w:rFonts w:ascii="Arial" w:cs="Arial" w:eastAsia="Arial" w:hAnsi="Arial"/>
                <w:sz w:val="18"/>
                <w:szCs w:val="18"/>
                <w:color w:val="auto"/>
              </w:rPr>
              <w:t>5</w:t>
            </w:r>
          </w:p>
        </w:tc>
      </w:tr>
      <w:tr>
        <w:trPr>
          <w:trHeight w:val="338"/>
        </w:trPr>
        <w:tc>
          <w:tcPr>
            <w:tcW w:w="1260" w:type="dxa"/>
            <w:vAlign w:val="bottom"/>
          </w:tcPr>
          <w:p>
            <w:pPr>
              <w:ind w:left="340"/>
              <w:spacing w:after="0"/>
              <w:rPr>
                <w:sz w:val="20"/>
                <w:szCs w:val="20"/>
                <w:color w:val="auto"/>
              </w:rPr>
            </w:pPr>
            <w:r>
              <w:rPr>
                <w:rFonts w:ascii="Arial" w:cs="Arial" w:eastAsia="Arial" w:hAnsi="Arial"/>
                <w:sz w:val="18"/>
                <w:szCs w:val="18"/>
                <w:color w:val="auto"/>
              </w:rPr>
              <w:t>3.2</w:t>
            </w:r>
          </w:p>
        </w:tc>
        <w:tc>
          <w:tcPr>
            <w:tcW w:w="3360" w:type="dxa"/>
            <w:vAlign w:val="bottom"/>
          </w:tcPr>
          <w:p>
            <w:pPr>
              <w:ind w:left="280"/>
              <w:spacing w:after="0"/>
              <w:rPr>
                <w:sz w:val="20"/>
                <w:szCs w:val="20"/>
                <w:color w:val="auto"/>
              </w:rPr>
            </w:pPr>
            <w:r>
              <w:rPr>
                <w:rFonts w:ascii="Arial" w:cs="Arial" w:eastAsia="Arial" w:hAnsi="Arial"/>
                <w:sz w:val="18"/>
                <w:szCs w:val="18"/>
                <w:color w:val="auto"/>
              </w:rPr>
              <w:t>Sharing of Information</w:t>
            </w:r>
          </w:p>
        </w:tc>
        <w:tc>
          <w:tcPr>
            <w:tcW w:w="6620" w:type="dxa"/>
            <w:vAlign w:val="bottom"/>
          </w:tcPr>
          <w:p>
            <w:pPr>
              <w:jc w:val="right"/>
              <w:ind w:right="370"/>
              <w:spacing w:after="0"/>
              <w:rPr>
                <w:sz w:val="20"/>
                <w:szCs w:val="20"/>
                <w:color w:val="auto"/>
              </w:rPr>
            </w:pPr>
            <w:r>
              <w:rPr>
                <w:rFonts w:ascii="Arial" w:cs="Arial" w:eastAsia="Arial" w:hAnsi="Arial"/>
                <w:sz w:val="18"/>
                <w:szCs w:val="18"/>
                <w:color w:val="auto"/>
              </w:rPr>
              <w:t>5</w:t>
            </w:r>
          </w:p>
        </w:tc>
      </w:tr>
      <w:tr>
        <w:trPr>
          <w:trHeight w:val="338"/>
        </w:trPr>
        <w:tc>
          <w:tcPr>
            <w:tcW w:w="1260" w:type="dxa"/>
            <w:vAlign w:val="bottom"/>
          </w:tcPr>
          <w:p>
            <w:pPr>
              <w:spacing w:after="0"/>
              <w:rPr>
                <w:sz w:val="20"/>
                <w:szCs w:val="20"/>
                <w:color w:val="auto"/>
              </w:rPr>
            </w:pPr>
            <w:r>
              <w:rPr>
                <w:rFonts w:ascii="Arial" w:cs="Arial" w:eastAsia="Arial" w:hAnsi="Arial"/>
                <w:sz w:val="18"/>
                <w:szCs w:val="18"/>
                <w:color w:val="auto"/>
              </w:rPr>
              <w:t>ARTICLE IV</w:t>
            </w:r>
          </w:p>
        </w:tc>
        <w:tc>
          <w:tcPr>
            <w:tcW w:w="3360" w:type="dxa"/>
            <w:vAlign w:val="bottom"/>
          </w:tcPr>
          <w:p>
            <w:pPr>
              <w:ind w:left="280"/>
              <w:spacing w:after="0"/>
              <w:rPr>
                <w:sz w:val="20"/>
                <w:szCs w:val="20"/>
                <w:color w:val="auto"/>
              </w:rPr>
            </w:pPr>
            <w:r>
              <w:rPr>
                <w:rFonts w:ascii="Arial" w:cs="Arial" w:eastAsia="Arial" w:hAnsi="Arial"/>
                <w:sz w:val="18"/>
                <w:szCs w:val="18"/>
                <w:color w:val="auto"/>
              </w:rPr>
              <w:t>GENERAL PROVISIONS</w:t>
            </w:r>
          </w:p>
        </w:tc>
        <w:tc>
          <w:tcPr>
            <w:tcW w:w="6620" w:type="dxa"/>
            <w:vAlign w:val="bottom"/>
          </w:tcPr>
          <w:p>
            <w:pPr>
              <w:jc w:val="right"/>
              <w:ind w:right="370"/>
              <w:spacing w:after="0"/>
              <w:rPr>
                <w:sz w:val="20"/>
                <w:szCs w:val="20"/>
                <w:color w:val="auto"/>
              </w:rPr>
            </w:pPr>
            <w:r>
              <w:rPr>
                <w:rFonts w:ascii="Arial" w:cs="Arial" w:eastAsia="Arial" w:hAnsi="Arial"/>
                <w:sz w:val="18"/>
                <w:szCs w:val="18"/>
                <w:color w:val="auto"/>
              </w:rPr>
              <w:t>6</w:t>
            </w:r>
          </w:p>
        </w:tc>
      </w:tr>
      <w:tr>
        <w:trPr>
          <w:trHeight w:val="338"/>
        </w:trPr>
        <w:tc>
          <w:tcPr>
            <w:tcW w:w="1260" w:type="dxa"/>
            <w:vAlign w:val="bottom"/>
          </w:tcPr>
          <w:p>
            <w:pPr>
              <w:ind w:left="340"/>
              <w:spacing w:after="0"/>
              <w:rPr>
                <w:sz w:val="20"/>
                <w:szCs w:val="20"/>
                <w:color w:val="auto"/>
              </w:rPr>
            </w:pPr>
            <w:r>
              <w:rPr>
                <w:rFonts w:ascii="Arial" w:cs="Arial" w:eastAsia="Arial" w:hAnsi="Arial"/>
                <w:sz w:val="18"/>
                <w:szCs w:val="18"/>
                <w:color w:val="auto"/>
              </w:rPr>
              <w:t>4.1</w:t>
            </w:r>
          </w:p>
        </w:tc>
        <w:tc>
          <w:tcPr>
            <w:tcW w:w="3360" w:type="dxa"/>
            <w:vAlign w:val="bottom"/>
          </w:tcPr>
          <w:p>
            <w:pPr>
              <w:ind w:left="280"/>
              <w:spacing w:after="0"/>
              <w:rPr>
                <w:sz w:val="20"/>
                <w:szCs w:val="20"/>
                <w:color w:val="auto"/>
              </w:rPr>
            </w:pPr>
            <w:r>
              <w:rPr>
                <w:rFonts w:ascii="Arial" w:cs="Arial" w:eastAsia="Arial" w:hAnsi="Arial"/>
                <w:sz w:val="18"/>
                <w:szCs w:val="18"/>
                <w:color w:val="auto"/>
              </w:rPr>
              <w:t>Termination</w:t>
            </w:r>
          </w:p>
        </w:tc>
        <w:tc>
          <w:tcPr>
            <w:tcW w:w="6620" w:type="dxa"/>
            <w:vAlign w:val="bottom"/>
          </w:tcPr>
          <w:p>
            <w:pPr>
              <w:jc w:val="right"/>
              <w:ind w:right="370"/>
              <w:spacing w:after="0"/>
              <w:rPr>
                <w:sz w:val="20"/>
                <w:szCs w:val="20"/>
                <w:color w:val="auto"/>
              </w:rPr>
            </w:pPr>
            <w:r>
              <w:rPr>
                <w:rFonts w:ascii="Arial" w:cs="Arial" w:eastAsia="Arial" w:hAnsi="Arial"/>
                <w:sz w:val="18"/>
                <w:szCs w:val="18"/>
                <w:color w:val="auto"/>
              </w:rPr>
              <w:t>6</w:t>
            </w:r>
          </w:p>
        </w:tc>
      </w:tr>
      <w:tr>
        <w:trPr>
          <w:trHeight w:val="338"/>
        </w:trPr>
        <w:tc>
          <w:tcPr>
            <w:tcW w:w="1260" w:type="dxa"/>
            <w:vAlign w:val="bottom"/>
          </w:tcPr>
          <w:p>
            <w:pPr>
              <w:ind w:left="340"/>
              <w:spacing w:after="0"/>
              <w:rPr>
                <w:sz w:val="20"/>
                <w:szCs w:val="20"/>
                <w:color w:val="auto"/>
              </w:rPr>
            </w:pPr>
            <w:r>
              <w:rPr>
                <w:rFonts w:ascii="Arial" w:cs="Arial" w:eastAsia="Arial" w:hAnsi="Arial"/>
                <w:sz w:val="18"/>
                <w:szCs w:val="18"/>
                <w:color w:val="auto"/>
              </w:rPr>
              <w:t>4.2</w:t>
            </w:r>
          </w:p>
        </w:tc>
        <w:tc>
          <w:tcPr>
            <w:tcW w:w="3360" w:type="dxa"/>
            <w:vAlign w:val="bottom"/>
          </w:tcPr>
          <w:p>
            <w:pPr>
              <w:ind w:left="280"/>
              <w:spacing w:after="0"/>
              <w:rPr>
                <w:sz w:val="20"/>
                <w:szCs w:val="20"/>
                <w:color w:val="auto"/>
              </w:rPr>
            </w:pPr>
            <w:r>
              <w:rPr>
                <w:rFonts w:ascii="Arial" w:cs="Arial" w:eastAsia="Arial" w:hAnsi="Arial"/>
                <w:sz w:val="18"/>
                <w:szCs w:val="18"/>
                <w:color w:val="auto"/>
              </w:rPr>
              <w:t>Notices</w:t>
            </w:r>
          </w:p>
        </w:tc>
        <w:tc>
          <w:tcPr>
            <w:tcW w:w="6620" w:type="dxa"/>
            <w:vAlign w:val="bottom"/>
          </w:tcPr>
          <w:p>
            <w:pPr>
              <w:jc w:val="right"/>
              <w:ind w:right="370"/>
              <w:spacing w:after="0"/>
              <w:rPr>
                <w:sz w:val="20"/>
                <w:szCs w:val="20"/>
                <w:color w:val="auto"/>
              </w:rPr>
            </w:pPr>
            <w:r>
              <w:rPr>
                <w:rFonts w:ascii="Arial" w:cs="Arial" w:eastAsia="Arial" w:hAnsi="Arial"/>
                <w:sz w:val="18"/>
                <w:szCs w:val="18"/>
                <w:color w:val="auto"/>
              </w:rPr>
              <w:t>6</w:t>
            </w:r>
          </w:p>
        </w:tc>
      </w:tr>
      <w:tr>
        <w:trPr>
          <w:trHeight w:val="338"/>
        </w:trPr>
        <w:tc>
          <w:tcPr>
            <w:tcW w:w="1260" w:type="dxa"/>
            <w:vAlign w:val="bottom"/>
          </w:tcPr>
          <w:p>
            <w:pPr>
              <w:ind w:left="340"/>
              <w:spacing w:after="0"/>
              <w:rPr>
                <w:sz w:val="20"/>
                <w:szCs w:val="20"/>
                <w:color w:val="auto"/>
              </w:rPr>
            </w:pPr>
            <w:r>
              <w:rPr>
                <w:rFonts w:ascii="Arial" w:cs="Arial" w:eastAsia="Arial" w:hAnsi="Arial"/>
                <w:sz w:val="18"/>
                <w:szCs w:val="18"/>
                <w:color w:val="auto"/>
              </w:rPr>
              <w:t>4.3</w:t>
            </w:r>
          </w:p>
        </w:tc>
        <w:tc>
          <w:tcPr>
            <w:tcW w:w="3360" w:type="dxa"/>
            <w:vAlign w:val="bottom"/>
          </w:tcPr>
          <w:p>
            <w:pPr>
              <w:ind w:left="280"/>
              <w:spacing w:after="0"/>
              <w:rPr>
                <w:sz w:val="20"/>
                <w:szCs w:val="20"/>
                <w:color w:val="auto"/>
              </w:rPr>
            </w:pPr>
            <w:r>
              <w:rPr>
                <w:rFonts w:ascii="Arial" w:cs="Arial" w:eastAsia="Arial" w:hAnsi="Arial"/>
                <w:sz w:val="18"/>
                <w:szCs w:val="18"/>
                <w:color w:val="auto"/>
              </w:rPr>
              <w:t>Amendment; Waiver</w:t>
            </w:r>
          </w:p>
        </w:tc>
        <w:tc>
          <w:tcPr>
            <w:tcW w:w="6620" w:type="dxa"/>
            <w:vAlign w:val="bottom"/>
          </w:tcPr>
          <w:p>
            <w:pPr>
              <w:jc w:val="right"/>
              <w:ind w:right="370"/>
              <w:spacing w:after="0"/>
              <w:rPr>
                <w:sz w:val="20"/>
                <w:szCs w:val="20"/>
                <w:color w:val="auto"/>
              </w:rPr>
            </w:pPr>
            <w:r>
              <w:rPr>
                <w:rFonts w:ascii="Arial" w:cs="Arial" w:eastAsia="Arial" w:hAnsi="Arial"/>
                <w:sz w:val="18"/>
                <w:szCs w:val="18"/>
                <w:color w:val="auto"/>
              </w:rPr>
              <w:t>6</w:t>
            </w:r>
          </w:p>
        </w:tc>
      </w:tr>
      <w:tr>
        <w:trPr>
          <w:trHeight w:val="338"/>
        </w:trPr>
        <w:tc>
          <w:tcPr>
            <w:tcW w:w="1260" w:type="dxa"/>
            <w:vAlign w:val="bottom"/>
          </w:tcPr>
          <w:p>
            <w:pPr>
              <w:ind w:left="340"/>
              <w:spacing w:after="0"/>
              <w:rPr>
                <w:sz w:val="20"/>
                <w:szCs w:val="20"/>
                <w:color w:val="auto"/>
              </w:rPr>
            </w:pPr>
            <w:r>
              <w:rPr>
                <w:rFonts w:ascii="Arial" w:cs="Arial" w:eastAsia="Arial" w:hAnsi="Arial"/>
                <w:sz w:val="18"/>
                <w:szCs w:val="18"/>
                <w:color w:val="auto"/>
              </w:rPr>
              <w:t>4.4</w:t>
            </w:r>
          </w:p>
        </w:tc>
        <w:tc>
          <w:tcPr>
            <w:tcW w:w="3360" w:type="dxa"/>
            <w:vAlign w:val="bottom"/>
          </w:tcPr>
          <w:p>
            <w:pPr>
              <w:ind w:left="280"/>
              <w:spacing w:after="0"/>
              <w:rPr>
                <w:sz w:val="20"/>
                <w:szCs w:val="20"/>
                <w:color w:val="auto"/>
              </w:rPr>
            </w:pPr>
            <w:r>
              <w:rPr>
                <w:rFonts w:ascii="Arial" w:cs="Arial" w:eastAsia="Arial" w:hAnsi="Arial"/>
                <w:sz w:val="18"/>
                <w:szCs w:val="18"/>
                <w:color w:val="auto"/>
              </w:rPr>
              <w:t>Further Assurances</w:t>
            </w:r>
          </w:p>
        </w:tc>
        <w:tc>
          <w:tcPr>
            <w:tcW w:w="6620" w:type="dxa"/>
            <w:vAlign w:val="bottom"/>
          </w:tcPr>
          <w:p>
            <w:pPr>
              <w:jc w:val="right"/>
              <w:ind w:right="370"/>
              <w:spacing w:after="0"/>
              <w:rPr>
                <w:sz w:val="20"/>
                <w:szCs w:val="20"/>
                <w:color w:val="auto"/>
              </w:rPr>
            </w:pPr>
            <w:r>
              <w:rPr>
                <w:rFonts w:ascii="Arial" w:cs="Arial" w:eastAsia="Arial" w:hAnsi="Arial"/>
                <w:sz w:val="18"/>
                <w:szCs w:val="18"/>
                <w:color w:val="auto"/>
              </w:rPr>
              <w:t>6</w:t>
            </w:r>
          </w:p>
        </w:tc>
      </w:tr>
      <w:tr>
        <w:trPr>
          <w:trHeight w:val="338"/>
        </w:trPr>
        <w:tc>
          <w:tcPr>
            <w:tcW w:w="1260" w:type="dxa"/>
            <w:vAlign w:val="bottom"/>
          </w:tcPr>
          <w:p>
            <w:pPr>
              <w:ind w:left="340"/>
              <w:spacing w:after="0"/>
              <w:rPr>
                <w:sz w:val="20"/>
                <w:szCs w:val="20"/>
                <w:color w:val="auto"/>
              </w:rPr>
            </w:pPr>
            <w:r>
              <w:rPr>
                <w:rFonts w:ascii="Arial" w:cs="Arial" w:eastAsia="Arial" w:hAnsi="Arial"/>
                <w:sz w:val="18"/>
                <w:szCs w:val="18"/>
                <w:color w:val="auto"/>
              </w:rPr>
              <w:t>4.5</w:t>
            </w:r>
          </w:p>
        </w:tc>
        <w:tc>
          <w:tcPr>
            <w:tcW w:w="3360" w:type="dxa"/>
            <w:vAlign w:val="bottom"/>
          </w:tcPr>
          <w:p>
            <w:pPr>
              <w:ind w:left="280"/>
              <w:spacing w:after="0"/>
              <w:rPr>
                <w:sz w:val="20"/>
                <w:szCs w:val="20"/>
                <w:color w:val="auto"/>
              </w:rPr>
            </w:pPr>
            <w:r>
              <w:rPr>
                <w:rFonts w:ascii="Arial" w:cs="Arial" w:eastAsia="Arial" w:hAnsi="Arial"/>
                <w:sz w:val="18"/>
                <w:szCs w:val="18"/>
                <w:color w:val="auto"/>
              </w:rPr>
              <w:t>Assignment</w:t>
            </w:r>
          </w:p>
        </w:tc>
        <w:tc>
          <w:tcPr>
            <w:tcW w:w="6620" w:type="dxa"/>
            <w:vAlign w:val="bottom"/>
          </w:tcPr>
          <w:p>
            <w:pPr>
              <w:jc w:val="right"/>
              <w:ind w:right="370"/>
              <w:spacing w:after="0"/>
              <w:rPr>
                <w:sz w:val="20"/>
                <w:szCs w:val="20"/>
                <w:color w:val="auto"/>
              </w:rPr>
            </w:pPr>
            <w:r>
              <w:rPr>
                <w:rFonts w:ascii="Arial" w:cs="Arial" w:eastAsia="Arial" w:hAnsi="Arial"/>
                <w:sz w:val="18"/>
                <w:szCs w:val="18"/>
                <w:color w:val="auto"/>
              </w:rPr>
              <w:t>6</w:t>
            </w:r>
          </w:p>
        </w:tc>
      </w:tr>
      <w:tr>
        <w:trPr>
          <w:trHeight w:val="338"/>
        </w:trPr>
        <w:tc>
          <w:tcPr>
            <w:tcW w:w="1260" w:type="dxa"/>
            <w:vAlign w:val="bottom"/>
          </w:tcPr>
          <w:p>
            <w:pPr>
              <w:ind w:left="340"/>
              <w:spacing w:after="0"/>
              <w:rPr>
                <w:sz w:val="20"/>
                <w:szCs w:val="20"/>
                <w:color w:val="auto"/>
              </w:rPr>
            </w:pPr>
            <w:r>
              <w:rPr>
                <w:rFonts w:ascii="Arial" w:cs="Arial" w:eastAsia="Arial" w:hAnsi="Arial"/>
                <w:sz w:val="18"/>
                <w:szCs w:val="18"/>
                <w:color w:val="auto"/>
              </w:rPr>
              <w:t>4.6</w:t>
            </w:r>
          </w:p>
        </w:tc>
        <w:tc>
          <w:tcPr>
            <w:tcW w:w="3360" w:type="dxa"/>
            <w:vAlign w:val="bottom"/>
          </w:tcPr>
          <w:p>
            <w:pPr>
              <w:ind w:left="280"/>
              <w:spacing w:after="0"/>
              <w:rPr>
                <w:sz w:val="20"/>
                <w:szCs w:val="20"/>
                <w:color w:val="auto"/>
              </w:rPr>
            </w:pPr>
            <w:r>
              <w:rPr>
                <w:rFonts w:ascii="Arial" w:cs="Arial" w:eastAsia="Arial" w:hAnsi="Arial"/>
                <w:sz w:val="18"/>
                <w:szCs w:val="18"/>
                <w:color w:val="auto"/>
              </w:rPr>
              <w:t>Third Parties</w:t>
            </w:r>
          </w:p>
        </w:tc>
        <w:tc>
          <w:tcPr>
            <w:tcW w:w="6620" w:type="dxa"/>
            <w:vAlign w:val="bottom"/>
          </w:tcPr>
          <w:p>
            <w:pPr>
              <w:jc w:val="right"/>
              <w:ind w:right="370"/>
              <w:spacing w:after="0"/>
              <w:rPr>
                <w:sz w:val="20"/>
                <w:szCs w:val="20"/>
                <w:color w:val="auto"/>
              </w:rPr>
            </w:pPr>
            <w:r>
              <w:rPr>
                <w:rFonts w:ascii="Arial" w:cs="Arial" w:eastAsia="Arial" w:hAnsi="Arial"/>
                <w:sz w:val="18"/>
                <w:szCs w:val="18"/>
                <w:color w:val="auto"/>
              </w:rPr>
              <w:t>6</w:t>
            </w:r>
          </w:p>
        </w:tc>
      </w:tr>
      <w:tr>
        <w:trPr>
          <w:trHeight w:val="338"/>
        </w:trPr>
        <w:tc>
          <w:tcPr>
            <w:tcW w:w="1260" w:type="dxa"/>
            <w:vAlign w:val="bottom"/>
          </w:tcPr>
          <w:p>
            <w:pPr>
              <w:ind w:left="340"/>
              <w:spacing w:after="0"/>
              <w:rPr>
                <w:sz w:val="20"/>
                <w:szCs w:val="20"/>
                <w:color w:val="auto"/>
              </w:rPr>
            </w:pPr>
            <w:r>
              <w:rPr>
                <w:rFonts w:ascii="Arial" w:cs="Arial" w:eastAsia="Arial" w:hAnsi="Arial"/>
                <w:sz w:val="18"/>
                <w:szCs w:val="18"/>
                <w:color w:val="auto"/>
              </w:rPr>
              <w:t>4.7</w:t>
            </w:r>
          </w:p>
        </w:tc>
        <w:tc>
          <w:tcPr>
            <w:tcW w:w="3360" w:type="dxa"/>
            <w:vAlign w:val="bottom"/>
          </w:tcPr>
          <w:p>
            <w:pPr>
              <w:ind w:left="280"/>
              <w:spacing w:after="0"/>
              <w:rPr>
                <w:sz w:val="20"/>
                <w:szCs w:val="20"/>
                <w:color w:val="auto"/>
              </w:rPr>
            </w:pPr>
            <w:r>
              <w:rPr>
                <w:rFonts w:ascii="Arial" w:cs="Arial" w:eastAsia="Arial" w:hAnsi="Arial"/>
                <w:sz w:val="18"/>
                <w:szCs w:val="18"/>
                <w:color w:val="auto"/>
              </w:rPr>
              <w:t>Governing Law</w:t>
            </w:r>
          </w:p>
        </w:tc>
        <w:tc>
          <w:tcPr>
            <w:tcW w:w="6620" w:type="dxa"/>
            <w:vAlign w:val="bottom"/>
          </w:tcPr>
          <w:p>
            <w:pPr>
              <w:jc w:val="right"/>
              <w:ind w:right="370"/>
              <w:spacing w:after="0"/>
              <w:rPr>
                <w:sz w:val="20"/>
                <w:szCs w:val="20"/>
                <w:color w:val="auto"/>
              </w:rPr>
            </w:pPr>
            <w:r>
              <w:rPr>
                <w:rFonts w:ascii="Arial" w:cs="Arial" w:eastAsia="Arial" w:hAnsi="Arial"/>
                <w:sz w:val="18"/>
                <w:szCs w:val="18"/>
                <w:color w:val="auto"/>
              </w:rPr>
              <w:t>6</w:t>
            </w:r>
          </w:p>
        </w:tc>
      </w:tr>
      <w:tr>
        <w:trPr>
          <w:trHeight w:val="338"/>
        </w:trPr>
        <w:tc>
          <w:tcPr>
            <w:tcW w:w="1260" w:type="dxa"/>
            <w:vAlign w:val="bottom"/>
          </w:tcPr>
          <w:p>
            <w:pPr>
              <w:ind w:left="340"/>
              <w:spacing w:after="0"/>
              <w:rPr>
                <w:sz w:val="20"/>
                <w:szCs w:val="20"/>
                <w:color w:val="auto"/>
              </w:rPr>
            </w:pPr>
            <w:r>
              <w:rPr>
                <w:rFonts w:ascii="Arial" w:cs="Arial" w:eastAsia="Arial" w:hAnsi="Arial"/>
                <w:sz w:val="18"/>
                <w:szCs w:val="18"/>
                <w:color w:val="auto"/>
              </w:rPr>
              <w:t>4.8</w:t>
            </w:r>
          </w:p>
        </w:tc>
        <w:tc>
          <w:tcPr>
            <w:tcW w:w="3360" w:type="dxa"/>
            <w:vAlign w:val="bottom"/>
          </w:tcPr>
          <w:p>
            <w:pPr>
              <w:ind w:left="280"/>
              <w:spacing w:after="0"/>
              <w:rPr>
                <w:sz w:val="20"/>
                <w:szCs w:val="20"/>
                <w:color w:val="auto"/>
              </w:rPr>
            </w:pPr>
            <w:r>
              <w:rPr>
                <w:rFonts w:ascii="Arial" w:cs="Arial" w:eastAsia="Arial" w:hAnsi="Arial"/>
                <w:sz w:val="18"/>
                <w:szCs w:val="18"/>
                <w:color w:val="auto"/>
              </w:rPr>
              <w:t>Jurisdiction; Waiver of Jury Trial</w:t>
            </w:r>
          </w:p>
        </w:tc>
        <w:tc>
          <w:tcPr>
            <w:tcW w:w="6620" w:type="dxa"/>
            <w:vAlign w:val="bottom"/>
          </w:tcPr>
          <w:p>
            <w:pPr>
              <w:jc w:val="right"/>
              <w:ind w:right="370"/>
              <w:spacing w:after="0"/>
              <w:rPr>
                <w:sz w:val="20"/>
                <w:szCs w:val="20"/>
                <w:color w:val="auto"/>
              </w:rPr>
            </w:pPr>
            <w:r>
              <w:rPr>
                <w:rFonts w:ascii="Arial" w:cs="Arial" w:eastAsia="Arial" w:hAnsi="Arial"/>
                <w:sz w:val="18"/>
                <w:szCs w:val="18"/>
                <w:color w:val="auto"/>
              </w:rPr>
              <w:t>7</w:t>
            </w:r>
          </w:p>
        </w:tc>
      </w:tr>
      <w:tr>
        <w:trPr>
          <w:trHeight w:val="338"/>
        </w:trPr>
        <w:tc>
          <w:tcPr>
            <w:tcW w:w="1260" w:type="dxa"/>
            <w:vAlign w:val="bottom"/>
          </w:tcPr>
          <w:p>
            <w:pPr>
              <w:ind w:left="340"/>
              <w:spacing w:after="0"/>
              <w:rPr>
                <w:sz w:val="20"/>
                <w:szCs w:val="20"/>
                <w:color w:val="auto"/>
              </w:rPr>
            </w:pPr>
            <w:r>
              <w:rPr>
                <w:rFonts w:ascii="Arial" w:cs="Arial" w:eastAsia="Arial" w:hAnsi="Arial"/>
                <w:sz w:val="18"/>
                <w:szCs w:val="18"/>
                <w:color w:val="auto"/>
              </w:rPr>
              <w:t>4.9</w:t>
            </w:r>
          </w:p>
        </w:tc>
        <w:tc>
          <w:tcPr>
            <w:tcW w:w="3360" w:type="dxa"/>
            <w:vAlign w:val="bottom"/>
          </w:tcPr>
          <w:p>
            <w:pPr>
              <w:ind w:left="280"/>
              <w:spacing w:after="0"/>
              <w:rPr>
                <w:sz w:val="20"/>
                <w:szCs w:val="20"/>
                <w:color w:val="auto"/>
              </w:rPr>
            </w:pPr>
            <w:r>
              <w:rPr>
                <w:rFonts w:ascii="Arial" w:cs="Arial" w:eastAsia="Arial" w:hAnsi="Arial"/>
                <w:sz w:val="18"/>
                <w:szCs w:val="18"/>
                <w:color w:val="auto"/>
              </w:rPr>
              <w:t>Specific Performance</w:t>
            </w:r>
          </w:p>
        </w:tc>
        <w:tc>
          <w:tcPr>
            <w:tcW w:w="6620" w:type="dxa"/>
            <w:vAlign w:val="bottom"/>
          </w:tcPr>
          <w:p>
            <w:pPr>
              <w:jc w:val="right"/>
              <w:ind w:right="370"/>
              <w:spacing w:after="0"/>
              <w:rPr>
                <w:sz w:val="20"/>
                <w:szCs w:val="20"/>
                <w:color w:val="auto"/>
              </w:rPr>
            </w:pPr>
            <w:r>
              <w:rPr>
                <w:rFonts w:ascii="Arial" w:cs="Arial" w:eastAsia="Arial" w:hAnsi="Arial"/>
                <w:sz w:val="18"/>
                <w:szCs w:val="18"/>
                <w:color w:val="auto"/>
              </w:rPr>
              <w:t>7</w:t>
            </w:r>
          </w:p>
        </w:tc>
      </w:tr>
      <w:tr>
        <w:trPr>
          <w:trHeight w:val="338"/>
        </w:trPr>
        <w:tc>
          <w:tcPr>
            <w:tcW w:w="1260" w:type="dxa"/>
            <w:vAlign w:val="bottom"/>
          </w:tcPr>
          <w:p>
            <w:pPr>
              <w:ind w:left="340"/>
              <w:spacing w:after="0"/>
              <w:rPr>
                <w:sz w:val="20"/>
                <w:szCs w:val="20"/>
                <w:color w:val="auto"/>
              </w:rPr>
            </w:pPr>
            <w:r>
              <w:rPr>
                <w:rFonts w:ascii="Arial" w:cs="Arial" w:eastAsia="Arial" w:hAnsi="Arial"/>
                <w:sz w:val="18"/>
                <w:szCs w:val="18"/>
                <w:color w:val="auto"/>
              </w:rPr>
              <w:t>4.10</w:t>
            </w:r>
          </w:p>
        </w:tc>
        <w:tc>
          <w:tcPr>
            <w:tcW w:w="3360" w:type="dxa"/>
            <w:vAlign w:val="bottom"/>
          </w:tcPr>
          <w:p>
            <w:pPr>
              <w:ind w:left="280"/>
              <w:spacing w:after="0"/>
              <w:rPr>
                <w:sz w:val="20"/>
                <w:szCs w:val="20"/>
                <w:color w:val="auto"/>
              </w:rPr>
            </w:pPr>
            <w:r>
              <w:rPr>
                <w:rFonts w:ascii="Arial" w:cs="Arial" w:eastAsia="Arial" w:hAnsi="Arial"/>
                <w:sz w:val="18"/>
                <w:szCs w:val="18"/>
                <w:color w:val="auto"/>
              </w:rPr>
              <w:t>Entire Agreement</w:t>
            </w:r>
          </w:p>
        </w:tc>
        <w:tc>
          <w:tcPr>
            <w:tcW w:w="6620" w:type="dxa"/>
            <w:vAlign w:val="bottom"/>
          </w:tcPr>
          <w:p>
            <w:pPr>
              <w:jc w:val="right"/>
              <w:ind w:right="370"/>
              <w:spacing w:after="0"/>
              <w:rPr>
                <w:sz w:val="20"/>
                <w:szCs w:val="20"/>
                <w:color w:val="auto"/>
              </w:rPr>
            </w:pPr>
            <w:r>
              <w:rPr>
                <w:rFonts w:ascii="Arial" w:cs="Arial" w:eastAsia="Arial" w:hAnsi="Arial"/>
                <w:sz w:val="18"/>
                <w:szCs w:val="18"/>
                <w:color w:val="auto"/>
              </w:rPr>
              <w:t>7</w:t>
            </w:r>
          </w:p>
        </w:tc>
      </w:tr>
      <w:tr>
        <w:trPr>
          <w:trHeight w:val="338"/>
        </w:trPr>
        <w:tc>
          <w:tcPr>
            <w:tcW w:w="1260" w:type="dxa"/>
            <w:vAlign w:val="bottom"/>
          </w:tcPr>
          <w:p>
            <w:pPr>
              <w:ind w:left="340"/>
              <w:spacing w:after="0"/>
              <w:rPr>
                <w:sz w:val="20"/>
                <w:szCs w:val="20"/>
                <w:color w:val="auto"/>
              </w:rPr>
            </w:pPr>
            <w:r>
              <w:rPr>
                <w:rFonts w:ascii="Arial" w:cs="Arial" w:eastAsia="Arial" w:hAnsi="Arial"/>
                <w:sz w:val="18"/>
                <w:szCs w:val="18"/>
                <w:color w:val="auto"/>
              </w:rPr>
              <w:t>4.11</w:t>
            </w:r>
          </w:p>
        </w:tc>
        <w:tc>
          <w:tcPr>
            <w:tcW w:w="3360" w:type="dxa"/>
            <w:vAlign w:val="bottom"/>
          </w:tcPr>
          <w:p>
            <w:pPr>
              <w:ind w:left="280"/>
              <w:spacing w:after="0"/>
              <w:rPr>
                <w:sz w:val="20"/>
                <w:szCs w:val="20"/>
                <w:color w:val="auto"/>
              </w:rPr>
            </w:pPr>
            <w:r>
              <w:rPr>
                <w:rFonts w:ascii="Arial" w:cs="Arial" w:eastAsia="Arial" w:hAnsi="Arial"/>
                <w:sz w:val="18"/>
                <w:szCs w:val="18"/>
                <w:color w:val="auto"/>
              </w:rPr>
              <w:t>Severability</w:t>
            </w:r>
          </w:p>
        </w:tc>
        <w:tc>
          <w:tcPr>
            <w:tcW w:w="6620" w:type="dxa"/>
            <w:vAlign w:val="bottom"/>
          </w:tcPr>
          <w:p>
            <w:pPr>
              <w:jc w:val="right"/>
              <w:ind w:right="370"/>
              <w:spacing w:after="0"/>
              <w:rPr>
                <w:sz w:val="20"/>
                <w:szCs w:val="20"/>
                <w:color w:val="auto"/>
              </w:rPr>
            </w:pPr>
            <w:r>
              <w:rPr>
                <w:rFonts w:ascii="Arial" w:cs="Arial" w:eastAsia="Arial" w:hAnsi="Arial"/>
                <w:sz w:val="18"/>
                <w:szCs w:val="18"/>
                <w:color w:val="auto"/>
              </w:rPr>
              <w:t>7</w:t>
            </w:r>
          </w:p>
        </w:tc>
      </w:tr>
      <w:tr>
        <w:trPr>
          <w:trHeight w:val="338"/>
        </w:trPr>
        <w:tc>
          <w:tcPr>
            <w:tcW w:w="1260" w:type="dxa"/>
            <w:vAlign w:val="bottom"/>
          </w:tcPr>
          <w:p>
            <w:pPr>
              <w:ind w:left="340"/>
              <w:spacing w:after="0"/>
              <w:rPr>
                <w:sz w:val="20"/>
                <w:szCs w:val="20"/>
                <w:color w:val="auto"/>
              </w:rPr>
            </w:pPr>
            <w:r>
              <w:rPr>
                <w:rFonts w:ascii="Arial" w:cs="Arial" w:eastAsia="Arial" w:hAnsi="Arial"/>
                <w:sz w:val="18"/>
                <w:szCs w:val="18"/>
                <w:color w:val="auto"/>
              </w:rPr>
              <w:t>4.12</w:t>
            </w:r>
          </w:p>
        </w:tc>
        <w:tc>
          <w:tcPr>
            <w:tcW w:w="3360" w:type="dxa"/>
            <w:vAlign w:val="bottom"/>
          </w:tcPr>
          <w:p>
            <w:pPr>
              <w:ind w:left="280"/>
              <w:spacing w:after="0"/>
              <w:rPr>
                <w:sz w:val="20"/>
                <w:szCs w:val="20"/>
                <w:color w:val="auto"/>
              </w:rPr>
            </w:pPr>
            <w:r>
              <w:rPr>
                <w:rFonts w:ascii="Arial" w:cs="Arial" w:eastAsia="Arial" w:hAnsi="Arial"/>
                <w:sz w:val="18"/>
                <w:szCs w:val="18"/>
                <w:color w:val="auto"/>
                <w:w w:val="90"/>
              </w:rPr>
              <w:t>Table of Contents, Headings and Captions</w:t>
            </w:r>
          </w:p>
        </w:tc>
        <w:tc>
          <w:tcPr>
            <w:tcW w:w="6620" w:type="dxa"/>
            <w:vAlign w:val="bottom"/>
          </w:tcPr>
          <w:p>
            <w:pPr>
              <w:jc w:val="right"/>
              <w:ind w:right="370"/>
              <w:spacing w:after="0"/>
              <w:rPr>
                <w:sz w:val="20"/>
                <w:szCs w:val="20"/>
                <w:color w:val="auto"/>
              </w:rPr>
            </w:pPr>
            <w:r>
              <w:rPr>
                <w:rFonts w:ascii="Arial" w:cs="Arial" w:eastAsia="Arial" w:hAnsi="Arial"/>
                <w:sz w:val="18"/>
                <w:szCs w:val="18"/>
                <w:color w:val="auto"/>
              </w:rPr>
              <w:t>7</w:t>
            </w:r>
          </w:p>
        </w:tc>
      </w:tr>
      <w:tr>
        <w:trPr>
          <w:trHeight w:val="338"/>
        </w:trPr>
        <w:tc>
          <w:tcPr>
            <w:tcW w:w="1260" w:type="dxa"/>
            <w:vAlign w:val="bottom"/>
          </w:tcPr>
          <w:p>
            <w:pPr>
              <w:ind w:left="340"/>
              <w:spacing w:after="0"/>
              <w:rPr>
                <w:sz w:val="20"/>
                <w:szCs w:val="20"/>
                <w:color w:val="auto"/>
              </w:rPr>
            </w:pPr>
            <w:r>
              <w:rPr>
                <w:rFonts w:ascii="Arial" w:cs="Arial" w:eastAsia="Arial" w:hAnsi="Arial"/>
                <w:sz w:val="18"/>
                <w:szCs w:val="18"/>
                <w:color w:val="auto"/>
              </w:rPr>
              <w:t>4.13</w:t>
            </w:r>
          </w:p>
        </w:tc>
        <w:tc>
          <w:tcPr>
            <w:tcW w:w="3360" w:type="dxa"/>
            <w:vAlign w:val="bottom"/>
          </w:tcPr>
          <w:p>
            <w:pPr>
              <w:ind w:left="280"/>
              <w:spacing w:after="0"/>
              <w:rPr>
                <w:sz w:val="20"/>
                <w:szCs w:val="20"/>
                <w:color w:val="auto"/>
              </w:rPr>
            </w:pPr>
            <w:r>
              <w:rPr>
                <w:rFonts w:ascii="Arial" w:cs="Arial" w:eastAsia="Arial" w:hAnsi="Arial"/>
                <w:sz w:val="18"/>
                <w:szCs w:val="18"/>
                <w:color w:val="auto"/>
              </w:rPr>
              <w:t>Counterparts</w:t>
            </w:r>
          </w:p>
        </w:tc>
        <w:tc>
          <w:tcPr>
            <w:tcW w:w="6620" w:type="dxa"/>
            <w:vAlign w:val="bottom"/>
          </w:tcPr>
          <w:p>
            <w:pPr>
              <w:jc w:val="right"/>
              <w:ind w:right="370"/>
              <w:spacing w:after="0"/>
              <w:rPr>
                <w:sz w:val="20"/>
                <w:szCs w:val="20"/>
                <w:color w:val="auto"/>
              </w:rPr>
            </w:pPr>
            <w:r>
              <w:rPr>
                <w:rFonts w:ascii="Arial" w:cs="Arial" w:eastAsia="Arial" w:hAnsi="Arial"/>
                <w:sz w:val="18"/>
                <w:szCs w:val="18"/>
                <w:color w:val="auto"/>
              </w:rPr>
              <w:t>7</w:t>
            </w:r>
          </w:p>
        </w:tc>
      </w:tr>
      <w:tr>
        <w:trPr>
          <w:trHeight w:val="338"/>
        </w:trPr>
        <w:tc>
          <w:tcPr>
            <w:tcW w:w="1260" w:type="dxa"/>
            <w:vAlign w:val="bottom"/>
          </w:tcPr>
          <w:p>
            <w:pPr>
              <w:ind w:left="340"/>
              <w:spacing w:after="0"/>
              <w:rPr>
                <w:sz w:val="20"/>
                <w:szCs w:val="20"/>
                <w:color w:val="auto"/>
              </w:rPr>
            </w:pPr>
            <w:r>
              <w:rPr>
                <w:rFonts w:ascii="Arial" w:cs="Arial" w:eastAsia="Arial" w:hAnsi="Arial"/>
                <w:sz w:val="18"/>
                <w:szCs w:val="18"/>
                <w:color w:val="auto"/>
              </w:rPr>
              <w:t>4.14</w:t>
            </w:r>
          </w:p>
        </w:tc>
        <w:tc>
          <w:tcPr>
            <w:tcW w:w="3360" w:type="dxa"/>
            <w:vAlign w:val="bottom"/>
          </w:tcPr>
          <w:p>
            <w:pPr>
              <w:ind w:left="280"/>
              <w:spacing w:after="0"/>
              <w:rPr>
                <w:sz w:val="20"/>
                <w:szCs w:val="20"/>
                <w:color w:val="auto"/>
              </w:rPr>
            </w:pPr>
            <w:r>
              <w:rPr>
                <w:rFonts w:ascii="Arial" w:cs="Arial" w:eastAsia="Arial" w:hAnsi="Arial"/>
                <w:sz w:val="18"/>
                <w:szCs w:val="18"/>
                <w:color w:val="auto"/>
              </w:rPr>
              <w:t>Effectiveness</w:t>
            </w:r>
          </w:p>
        </w:tc>
        <w:tc>
          <w:tcPr>
            <w:tcW w:w="6620" w:type="dxa"/>
            <w:vAlign w:val="bottom"/>
          </w:tcPr>
          <w:p>
            <w:pPr>
              <w:jc w:val="right"/>
              <w:ind w:right="370"/>
              <w:spacing w:after="0"/>
              <w:rPr>
                <w:sz w:val="20"/>
                <w:szCs w:val="20"/>
                <w:color w:val="auto"/>
              </w:rPr>
            </w:pPr>
            <w:r>
              <w:rPr>
                <w:rFonts w:ascii="Arial" w:cs="Arial" w:eastAsia="Arial" w:hAnsi="Arial"/>
                <w:sz w:val="18"/>
                <w:szCs w:val="18"/>
                <w:color w:val="auto"/>
              </w:rPr>
              <w:t>7</w:t>
            </w:r>
          </w:p>
        </w:tc>
      </w:tr>
      <w:tr>
        <w:trPr>
          <w:trHeight w:val="338"/>
        </w:trPr>
        <w:tc>
          <w:tcPr>
            <w:tcW w:w="1260" w:type="dxa"/>
            <w:vAlign w:val="bottom"/>
          </w:tcPr>
          <w:p>
            <w:pPr>
              <w:ind w:left="340"/>
              <w:spacing w:after="0"/>
              <w:rPr>
                <w:sz w:val="20"/>
                <w:szCs w:val="20"/>
                <w:color w:val="auto"/>
              </w:rPr>
            </w:pPr>
            <w:r>
              <w:rPr>
                <w:rFonts w:ascii="Arial" w:cs="Arial" w:eastAsia="Arial" w:hAnsi="Arial"/>
                <w:sz w:val="18"/>
                <w:szCs w:val="18"/>
                <w:color w:val="auto"/>
              </w:rPr>
              <w:t>4.15</w:t>
            </w:r>
          </w:p>
        </w:tc>
        <w:tc>
          <w:tcPr>
            <w:tcW w:w="3360" w:type="dxa"/>
            <w:vAlign w:val="bottom"/>
          </w:tcPr>
          <w:p>
            <w:pPr>
              <w:ind w:left="280"/>
              <w:spacing w:after="0"/>
              <w:rPr>
                <w:sz w:val="20"/>
                <w:szCs w:val="20"/>
                <w:color w:val="auto"/>
              </w:rPr>
            </w:pPr>
            <w:r>
              <w:rPr>
                <w:rFonts w:ascii="Arial" w:cs="Arial" w:eastAsia="Arial" w:hAnsi="Arial"/>
                <w:sz w:val="18"/>
                <w:szCs w:val="18"/>
                <w:color w:val="auto"/>
              </w:rPr>
              <w:t>No Recourse</w:t>
            </w:r>
          </w:p>
        </w:tc>
        <w:tc>
          <w:tcPr>
            <w:tcW w:w="6620" w:type="dxa"/>
            <w:vAlign w:val="bottom"/>
          </w:tcPr>
          <w:p>
            <w:pPr>
              <w:jc w:val="right"/>
              <w:ind w:right="370"/>
              <w:spacing w:after="0"/>
              <w:rPr>
                <w:sz w:val="20"/>
                <w:szCs w:val="20"/>
                <w:color w:val="auto"/>
              </w:rPr>
            </w:pPr>
            <w:r>
              <w:rPr>
                <w:rFonts w:ascii="Arial" w:cs="Arial" w:eastAsia="Arial" w:hAnsi="Arial"/>
                <w:sz w:val="18"/>
                <w:szCs w:val="18"/>
                <w:color w:val="auto"/>
              </w:rPr>
              <w:t>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8" w:name="page79"/>
    <w:bookmarkEnd w:id="78"/>
    <w:p>
      <w:pPr>
        <w:jc w:val="center"/>
        <w:ind w:right="-99"/>
        <w:spacing w:after="0"/>
        <w:rPr>
          <w:sz w:val="20"/>
          <w:szCs w:val="20"/>
          <w:color w:val="auto"/>
        </w:rPr>
      </w:pPr>
      <w:r>
        <w:rPr>
          <w:rFonts w:ascii="Arial" w:cs="Arial" w:eastAsia="Arial" w:hAnsi="Arial"/>
          <w:sz w:val="18"/>
          <w:szCs w:val="18"/>
          <w:b w:val="1"/>
          <w:bCs w:val="1"/>
          <w:u w:val="single" w:color="auto"/>
          <w:color w:val="auto"/>
        </w:rPr>
        <w:t>INVESTOR RIGHTS AGREEMENT</w:t>
      </w:r>
    </w:p>
    <w:p>
      <w:pPr>
        <w:spacing w:after="0" w:line="229" w:lineRule="exact"/>
        <w:rPr>
          <w:sz w:val="20"/>
          <w:szCs w:val="20"/>
          <w:color w:val="auto"/>
        </w:rPr>
      </w:pPr>
    </w:p>
    <w:p>
      <w:pPr>
        <w:ind w:firstLine="1321"/>
        <w:spacing w:after="0" w:line="277" w:lineRule="auto"/>
        <w:rPr>
          <w:sz w:val="20"/>
          <w:szCs w:val="20"/>
          <w:color w:val="auto"/>
        </w:rPr>
      </w:pPr>
      <w:r>
        <w:rPr>
          <w:rFonts w:ascii="Arial" w:cs="Arial" w:eastAsia="Arial" w:hAnsi="Arial"/>
          <w:sz w:val="18"/>
          <w:szCs w:val="18"/>
          <w:color w:val="auto"/>
        </w:rPr>
        <w:t>This Investor Rights Agreement is entered into on September 22, 2020 by and among Corsair Gaming,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Corsair Group (Cayman), LP, a Cayman Islands exempted limited partnership (“</w:t>
      </w:r>
      <w:r>
        <w:rPr>
          <w:rFonts w:ascii="Arial" w:cs="Arial" w:eastAsia="Arial" w:hAnsi="Arial"/>
          <w:sz w:val="18"/>
          <w:szCs w:val="18"/>
          <w:u w:val="single" w:color="auto"/>
          <w:color w:val="auto"/>
        </w:rPr>
        <w:t>Corsair LP</w:t>
      </w:r>
      <w:r>
        <w:rPr>
          <w:rFonts w:ascii="Arial" w:cs="Arial" w:eastAsia="Arial" w:hAnsi="Arial"/>
          <w:sz w:val="18"/>
          <w:szCs w:val="18"/>
          <w:color w:val="auto"/>
        </w:rPr>
        <w:t>”).</w:t>
      </w:r>
    </w:p>
    <w:p>
      <w:pPr>
        <w:spacing w:after="0" w:line="38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WHEREAS, the Company is currently contemplating an underwritten initial public offering of shares of its Common Stock (as defined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 and</w:t>
      </w:r>
    </w:p>
    <w:p>
      <w:pPr>
        <w:spacing w:after="0" w:line="211" w:lineRule="exact"/>
        <w:rPr>
          <w:sz w:val="20"/>
          <w:szCs w:val="20"/>
          <w:color w:val="auto"/>
        </w:rPr>
      </w:pPr>
    </w:p>
    <w:p>
      <w:pPr>
        <w:ind w:right="120" w:firstLine="1321"/>
        <w:spacing w:after="0" w:line="263" w:lineRule="auto"/>
        <w:rPr>
          <w:sz w:val="20"/>
          <w:szCs w:val="20"/>
          <w:color w:val="auto"/>
        </w:rPr>
      </w:pPr>
      <w:r>
        <w:rPr>
          <w:rFonts w:ascii="Arial" w:cs="Arial" w:eastAsia="Arial" w:hAnsi="Arial"/>
          <w:sz w:val="18"/>
          <w:szCs w:val="18"/>
          <w:color w:val="auto"/>
        </w:rPr>
        <w:t>WHEREAS, in connection with, and effective upon, the date of commencement of trading of the Company’s Common Stock on a national securities exchange (the “</w:t>
      </w:r>
      <w:r>
        <w:rPr>
          <w:rFonts w:ascii="Arial" w:cs="Arial" w:eastAsia="Arial" w:hAnsi="Arial"/>
          <w:sz w:val="18"/>
          <w:szCs w:val="18"/>
          <w:u w:val="single" w:color="auto"/>
          <w:color w:val="auto"/>
        </w:rPr>
        <w:t>Effective Date</w:t>
      </w:r>
      <w:r>
        <w:rPr>
          <w:rFonts w:ascii="Arial" w:cs="Arial" w:eastAsia="Arial" w:hAnsi="Arial"/>
          <w:sz w:val="18"/>
          <w:szCs w:val="18"/>
          <w:color w:val="auto"/>
        </w:rPr>
        <w:t>”), the Company and Corsair LP wish to set forth certain understandings between such parties, including with respect to certain governance matters.</w:t>
      </w:r>
    </w:p>
    <w:p>
      <w:pPr>
        <w:spacing w:after="0" w:line="184"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NOW, THEREFORE, the parties agree as follows: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INTRODUCTORY MATTERS</w:t>
      </w:r>
    </w:p>
    <w:p>
      <w:pPr>
        <w:spacing w:after="0" w:line="225" w:lineRule="exact"/>
        <w:rPr>
          <w:sz w:val="20"/>
          <w:szCs w:val="20"/>
          <w:color w:val="auto"/>
        </w:rPr>
      </w:pPr>
    </w:p>
    <w:p>
      <w:pPr>
        <w:ind w:left="1020" w:right="160" w:hanging="431"/>
        <w:spacing w:after="0" w:line="277" w:lineRule="auto"/>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u w:val="single" w:color="auto"/>
          <w:color w:val="auto"/>
        </w:rPr>
        <w:t>Defined Terms</w:t>
      </w:r>
      <w:r>
        <w:rPr>
          <w:rFonts w:ascii="Arial" w:cs="Arial" w:eastAsia="Arial" w:hAnsi="Arial"/>
          <w:sz w:val="18"/>
          <w:szCs w:val="18"/>
          <w:color w:val="auto"/>
        </w:rPr>
        <w:t>. In addition to the terms defined elsewhere herein, the following terms have the following meanings when used herein with initial capital letters:</w:t>
      </w:r>
    </w:p>
    <w:p>
      <w:pPr>
        <w:spacing w:after="0" w:line="170" w:lineRule="exact"/>
        <w:rPr>
          <w:sz w:val="20"/>
          <w:szCs w:val="20"/>
          <w:color w:val="auto"/>
        </w:rPr>
      </w:pPr>
    </w:p>
    <w:p>
      <w:pPr>
        <w:ind w:firstLine="132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a Person that directly, or indirectly through one or more intermediaries, Controls, or is Controlled by, or is under common Control with, another Person. In respect of EagleTree, “Affiliate” shall mean any Person that, directly or indirectly, is Controlled by EagleTree, Controls EagleTree, or is under common Control with EagleTree, and shall include any principal, member, director, partner, stockholder, officer, employee or other representative of any of the foregoing (other than the Company and any entity that is Controlled by the Company).</w:t>
      </w:r>
    </w:p>
    <w:p>
      <w:pPr>
        <w:spacing w:after="0" w:line="171" w:lineRule="exact"/>
        <w:rPr>
          <w:sz w:val="20"/>
          <w:szCs w:val="20"/>
          <w:color w:val="auto"/>
        </w:rPr>
      </w:pPr>
    </w:p>
    <w:p>
      <w:pPr>
        <w:ind w:right="200" w:firstLine="13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Investor Rights Agreement, as the same may be amended, supplemented, restated and/or otherwise modified from time to time in accordance with the terms hereof.</w:t>
      </w:r>
    </w:p>
    <w:p>
      <w:pPr>
        <w:spacing w:after="0" w:line="170"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beneficially own</w:t>
      </w:r>
      <w:r>
        <w:rPr>
          <w:rFonts w:ascii="Arial" w:cs="Arial" w:eastAsia="Arial" w:hAnsi="Arial"/>
          <w:sz w:val="18"/>
          <w:szCs w:val="18"/>
          <w:color w:val="auto"/>
        </w:rPr>
        <w:t>” has the meaning set forth in Rule 13d-3 promulgated under the Exchange Act.</w:t>
      </w:r>
    </w:p>
    <w:p>
      <w:pPr>
        <w:spacing w:after="0" w:line="22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right="20" w:firstLine="13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other than a Saturday, Sunday, federal or New York State holiday or other day on which commercial banks in New York City are authorized or required by law to close.</w:t>
      </w:r>
    </w:p>
    <w:p>
      <w:pPr>
        <w:spacing w:after="0" w:line="170"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Bylaws</w:t>
      </w:r>
      <w:r>
        <w:rPr>
          <w:rFonts w:ascii="Arial" w:cs="Arial" w:eastAsia="Arial" w:hAnsi="Arial"/>
          <w:sz w:val="16"/>
          <w:szCs w:val="16"/>
          <w:color w:val="auto"/>
        </w:rPr>
        <w:t>” means the Amended and Restated Bylaws of the Company, as the same may be amended and/or restated from time to time.</w:t>
      </w:r>
    </w:p>
    <w:p>
      <w:pPr>
        <w:spacing w:after="0" w:line="208" w:lineRule="exact"/>
        <w:rPr>
          <w:sz w:val="20"/>
          <w:szCs w:val="20"/>
          <w:color w:val="auto"/>
        </w:rPr>
      </w:pPr>
    </w:p>
    <w:p>
      <w:pPr>
        <w:ind w:right="180" w:firstLine="13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w:t>
      </w:r>
      <w:r>
        <w:rPr>
          <w:rFonts w:ascii="Arial" w:cs="Arial" w:eastAsia="Arial" w:hAnsi="Arial"/>
          <w:sz w:val="18"/>
          <w:szCs w:val="18"/>
          <w:color w:val="auto"/>
        </w:rPr>
        <w:t>” means the Second Amended and Restated Certificate of Incorporation of the Company, as the same may be amended and/or restated from time to time.</w:t>
      </w:r>
    </w:p>
    <w:p>
      <w:pPr>
        <w:spacing w:after="0" w:line="170" w:lineRule="exact"/>
        <w:rPr>
          <w:sz w:val="20"/>
          <w:szCs w:val="20"/>
          <w:color w:val="auto"/>
        </w:rPr>
      </w:pPr>
    </w:p>
    <w:p>
      <w:pPr>
        <w:ind w:right="180" w:firstLine="13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shares of common stock, par value $0.0001 per share, of the Company, and any other capital stock of the Company into which such stock is reclassified or reconstituted and any other common stock of the Company.</w:t>
      </w:r>
    </w:p>
    <w:p>
      <w:pPr>
        <w:spacing w:after="0" w:line="170"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Preamble.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1494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79" w:name="page80"/>
    <w:bookmarkEnd w:id="79"/>
    <w:p>
      <w:pPr>
        <w:ind w:right="120" w:firstLine="132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(including its correlative meanings, “</w:t>
      </w:r>
      <w:r>
        <w:rPr>
          <w:rFonts w:ascii="Arial" w:cs="Arial" w:eastAsia="Arial" w:hAnsi="Arial"/>
          <w:sz w:val="18"/>
          <w:szCs w:val="18"/>
          <w:u w:val="single" w:color="auto"/>
          <w:color w:val="auto"/>
        </w:rPr>
        <w:t>Controlled by</w:t>
      </w:r>
      <w:r>
        <w:rPr>
          <w:rFonts w:ascii="Arial" w:cs="Arial" w:eastAsia="Arial" w:hAnsi="Arial"/>
          <w:sz w:val="18"/>
          <w:szCs w:val="18"/>
          <w:color w:val="auto"/>
        </w:rPr>
        <w:t>” and “</w:t>
      </w:r>
      <w:r>
        <w:rPr>
          <w:rFonts w:ascii="Arial" w:cs="Arial" w:eastAsia="Arial" w:hAnsi="Arial"/>
          <w:sz w:val="18"/>
          <w:szCs w:val="18"/>
          <w:u w:val="single" w:color="auto"/>
          <w:color w:val="auto"/>
        </w:rPr>
        <w:t>under common Control with</w:t>
      </w:r>
      <w:r>
        <w:rPr>
          <w:rFonts w:ascii="Arial" w:cs="Arial" w:eastAsia="Arial" w:hAnsi="Arial"/>
          <w:sz w:val="18"/>
          <w:szCs w:val="18"/>
          <w:color w:val="auto"/>
        </w:rPr>
        <w:t>”) means possession, directly or indirectly, of the power to direct or cause the direction of the management or policies (whether through ownership of securities or any partnership or other ownership interest, by contract or otherwise) of a Person.</w:t>
      </w:r>
    </w:p>
    <w:p>
      <w:pPr>
        <w:spacing w:after="0" w:line="184"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any member of the Board.</w:t>
      </w:r>
    </w:p>
    <w:p>
      <w:pPr>
        <w:spacing w:after="0" w:line="225" w:lineRule="exact"/>
        <w:rPr>
          <w:sz w:val="20"/>
          <w:szCs w:val="20"/>
          <w:color w:val="auto"/>
        </w:rPr>
      </w:pPr>
    </w:p>
    <w:p>
      <w:pPr>
        <w:ind w:right="20" w:firstLine="13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EagleTree</w:t>
      </w:r>
      <w:r>
        <w:rPr>
          <w:rFonts w:ascii="Arial" w:cs="Arial" w:eastAsia="Arial" w:hAnsi="Arial"/>
          <w:sz w:val="18"/>
          <w:szCs w:val="18"/>
          <w:color w:val="auto"/>
        </w:rPr>
        <w:t>” means, collectively, Corsair LP, together with its Affiliates and its and their successors and assigns (other than the Company and its Subsidiaries).</w:t>
      </w:r>
    </w:p>
    <w:p>
      <w:pPr>
        <w:spacing w:after="0" w:line="170"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EagleTree Designee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22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180" w:firstLine="13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the rules and regulations promulgated thereunder, as the same may be amended from time to time.</w:t>
      </w:r>
    </w:p>
    <w:p>
      <w:pPr>
        <w:spacing w:after="0" w:line="170" w:lineRule="exact"/>
        <w:rPr>
          <w:sz w:val="20"/>
          <w:szCs w:val="20"/>
          <w:color w:val="auto"/>
        </w:rPr>
      </w:pPr>
    </w:p>
    <w:p>
      <w:pPr>
        <w:jc w:val="both"/>
        <w:ind w:right="260" w:firstLine="13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nation or government, any state or other political subdivision thereof, and any entity exercising executive, legislative, judicial, regulatory or administrative functions of or pertaining to government.</w:t>
      </w:r>
    </w:p>
    <w:p>
      <w:pPr>
        <w:spacing w:after="0" w:line="170" w:lineRule="exact"/>
        <w:rPr>
          <w:sz w:val="20"/>
          <w:szCs w:val="20"/>
          <w:color w:val="auto"/>
        </w:rPr>
      </w:pPr>
    </w:p>
    <w:p>
      <w:pPr>
        <w:jc w:val="both"/>
        <w:ind w:right="240" w:firstLine="132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statute, law, regulation, ordinance, rule, injunction, order, decree, governmental approval, directive, requirement, or other governmental restriction or any similar form of decision of, or determination by, or any interpretation or administration of any of the foregoing by, any Governmental Authority.</w:t>
      </w:r>
    </w:p>
    <w:p>
      <w:pPr>
        <w:spacing w:after="0" w:line="184" w:lineRule="exact"/>
        <w:rPr>
          <w:sz w:val="20"/>
          <w:szCs w:val="20"/>
          <w:color w:val="auto"/>
        </w:rPr>
      </w:pPr>
    </w:p>
    <w:p>
      <w:pPr>
        <w:ind w:right="40" w:firstLine="13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Assigns</w:t>
      </w:r>
      <w:r>
        <w:rPr>
          <w:rFonts w:ascii="Arial" w:cs="Arial" w:eastAsia="Arial" w:hAnsi="Arial"/>
          <w:sz w:val="18"/>
          <w:szCs w:val="18"/>
          <w:color w:val="auto"/>
        </w:rPr>
        <w:t>” means with respect to EagleTree, a Transferee of shares of Common Stock that agrees to become party to, and to be bound to the same extent as its Transferor by the terms of, this Agreement.</w:t>
      </w:r>
    </w:p>
    <w:p>
      <w:pPr>
        <w:spacing w:after="0" w:line="170" w:lineRule="exact"/>
        <w:rPr>
          <w:sz w:val="20"/>
          <w:szCs w:val="20"/>
          <w:color w:val="auto"/>
        </w:rPr>
      </w:pPr>
    </w:p>
    <w:p>
      <w:pPr>
        <w:ind w:firstLine="132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partnership, a corporation, a limited liability company, an association, a joint stock company, a trust, a joint venture, an unincorporated organization, or other form of business organization, whether or not regarded as a legal entity under applicable Law, or any Governmental Authority or any department, agency or political subdivision thereof.</w:t>
      </w:r>
    </w:p>
    <w:p>
      <w:pPr>
        <w:spacing w:after="0" w:line="143" w:lineRule="exact"/>
        <w:rPr>
          <w:sz w:val="20"/>
          <w:szCs w:val="20"/>
          <w:color w:val="auto"/>
        </w:rPr>
      </w:pPr>
    </w:p>
    <w:p>
      <w:pPr>
        <w:ind w:right="80" w:firstLine="132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any Person, any corporation, limited liability company, partnership, association or other business entity of which: (i) if a corporation, a majority of the total voting power of shares of stock entitled to vote in the election of directors, representatives or trustees thereof is at the time owned or Controlled, directly or indirectly, by that Person or one or more of the other Subsidiaries of that Person or a combination thereof; or (ii) if a limited liability company, partnership, association or other business entity, a majority of the total voting power of stock (or equivalent ownership interest) of the limited liability company, partnership, association or other business entity is at the time owned or Controlled, directly or indirectly, by any Person or one or more Subsidiaries of that Person or a combination thereof. For purposes hereof, a Person or Persons shall be deemed to have a majority ownership interest in a limited liability company, partnership, association or other business entity if such Person or Persons shall be allocated a majority of limited liability company, partnership, association or other business entity gains or losses or shall be or Control the managing member, managing director or other governing body or general partner of such limited liability company, partnership, association or other business entity.</w:t>
      </w:r>
    </w:p>
    <w:p>
      <w:pPr>
        <w:spacing w:after="0" w:line="166" w:lineRule="exact"/>
        <w:rPr>
          <w:sz w:val="20"/>
          <w:szCs w:val="20"/>
          <w:color w:val="auto"/>
        </w:rPr>
      </w:pPr>
    </w:p>
    <w:p>
      <w:pPr>
        <w:ind w:right="240" w:firstLine="132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w:t>
      </w:r>
      <w:r>
        <w:rPr>
          <w:rFonts w:ascii="Arial" w:cs="Arial" w:eastAsia="Arial" w:hAnsi="Arial"/>
          <w:sz w:val="16"/>
          <w:szCs w:val="16"/>
          <w:color w:val="auto"/>
        </w:rPr>
        <w:t>” (including its correlative meanings, “</w:t>
      </w:r>
      <w:r>
        <w:rPr>
          <w:rFonts w:ascii="Arial" w:cs="Arial" w:eastAsia="Arial" w:hAnsi="Arial"/>
          <w:sz w:val="16"/>
          <w:szCs w:val="16"/>
          <w:u w:val="single" w:color="auto"/>
          <w:color w:val="auto"/>
        </w:rPr>
        <w:t>Transferor</w:t>
      </w:r>
      <w:r>
        <w:rPr>
          <w:rFonts w:ascii="Arial" w:cs="Arial" w:eastAsia="Arial" w:hAnsi="Arial"/>
          <w:sz w:val="16"/>
          <w:szCs w:val="16"/>
          <w:color w:val="auto"/>
        </w:rPr>
        <w:t>”, “</w:t>
      </w:r>
      <w:r>
        <w:rPr>
          <w:rFonts w:ascii="Arial" w:cs="Arial" w:eastAsia="Arial" w:hAnsi="Arial"/>
          <w:sz w:val="16"/>
          <w:szCs w:val="16"/>
          <w:u w:val="single" w:color="auto"/>
          <w:color w:val="auto"/>
        </w:rPr>
        <w:t>Transferee</w:t>
      </w:r>
      <w:r>
        <w:rPr>
          <w:rFonts w:ascii="Arial" w:cs="Arial" w:eastAsia="Arial" w:hAnsi="Arial"/>
          <w:sz w:val="16"/>
          <w:szCs w:val="16"/>
          <w:color w:val="auto"/>
        </w:rPr>
        <w:t>” and “</w:t>
      </w:r>
      <w:r>
        <w:rPr>
          <w:rFonts w:ascii="Arial" w:cs="Arial" w:eastAsia="Arial" w:hAnsi="Arial"/>
          <w:sz w:val="16"/>
          <w:szCs w:val="16"/>
          <w:u w:val="single" w:color="auto"/>
          <w:color w:val="auto"/>
        </w:rPr>
        <w:t>Transferred</w:t>
      </w:r>
      <w:r>
        <w:rPr>
          <w:rFonts w:ascii="Arial" w:cs="Arial" w:eastAsia="Arial" w:hAnsi="Arial"/>
          <w:sz w:val="16"/>
          <w:szCs w:val="16"/>
          <w:color w:val="auto"/>
        </w:rPr>
        <w:t>”) shall mean, with respect to any security, directly or indirectly, to sell, contract to sell, give, distribute, assign, hypothecate, pledge, encumber, grant a security interest in, offer, sell any option or contract to purchase, purchase any option or contract to sell, grant any option, right or warrant to purchase, lend or otherwise transfer or dispose of any economic, voting or other rights in or to such security. When used as a noun, “</w:t>
      </w:r>
      <w:r>
        <w:rPr>
          <w:rFonts w:ascii="Arial" w:cs="Arial" w:eastAsia="Arial" w:hAnsi="Arial"/>
          <w:sz w:val="16"/>
          <w:szCs w:val="16"/>
          <w:u w:val="single" w:color="auto"/>
          <w:color w:val="auto"/>
        </w:rPr>
        <w:t>Transfer</w:t>
      </w:r>
      <w:r>
        <w:rPr>
          <w:rFonts w:ascii="Arial" w:cs="Arial" w:eastAsia="Arial" w:hAnsi="Arial"/>
          <w:sz w:val="16"/>
          <w:szCs w:val="16"/>
          <w:color w:val="auto"/>
        </w:rPr>
        <w:t>” shall have such correlative meaning as the context may require.</w:t>
      </w:r>
    </w:p>
    <w:p>
      <w:pPr>
        <w:spacing w:after="0" w:line="4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Construction</w:t>
      </w:r>
      <w:r>
        <w:rPr>
          <w:rFonts w:ascii="Arial" w:cs="Arial" w:eastAsia="Arial" w:hAnsi="Arial"/>
          <w:sz w:val="16"/>
          <w:szCs w:val="16"/>
          <w:color w:val="auto"/>
        </w:rPr>
        <w:t>. Interpretation of this Agreement shall be governed by the following rules of construction. Unless the context otherwise requires: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references to the terms Article, Section, paragraph and Exhibit are</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80" w:name="page81"/>
    <w:bookmarkEnd w:id="80"/>
    <w:p>
      <w:pPr>
        <w:ind w:right="280"/>
        <w:spacing w:after="0" w:line="286" w:lineRule="auto"/>
        <w:rPr>
          <w:sz w:val="20"/>
          <w:szCs w:val="20"/>
          <w:color w:val="auto"/>
        </w:rPr>
      </w:pPr>
      <w:r>
        <w:rPr>
          <w:rFonts w:ascii="Arial" w:cs="Arial" w:eastAsia="Arial" w:hAnsi="Arial"/>
          <w:sz w:val="16"/>
          <w:szCs w:val="16"/>
          <w:color w:val="auto"/>
        </w:rPr>
        <w:t>references to the Articles, Sections, paragraphs and Exhibits to this Agreement unless otherwise specified; (b) the terms “hereof,” “herein,” “hereby,” “hereto,” and derivative or similar words refer to this entire Agreement, including Exhibits hereto; (c) references to “$” or “Dollars” shall mean United States dollars; (d) the words “include,” “includes,” “including” and words of similar import when used in this Agreement shall mean “including without limitation,” unless otherwise specified; (e) the word “or” shall not be exclusive; (f) references to “written” or “in writing” include in electronic form;</w:t>
      </w:r>
    </w:p>
    <w:p>
      <w:pPr>
        <w:spacing w:after="0" w:line="1" w:lineRule="exact"/>
        <w:rPr>
          <w:sz w:val="20"/>
          <w:szCs w:val="20"/>
          <w:color w:val="auto"/>
        </w:rPr>
      </w:pPr>
    </w:p>
    <w:p>
      <w:pPr>
        <w:ind w:firstLine="8"/>
        <w:spacing w:after="0" w:line="289" w:lineRule="auto"/>
        <w:tabs>
          <w:tab w:leader="none" w:pos="255" w:val="left"/>
        </w:tabs>
        <w:numPr>
          <w:ilvl w:val="0"/>
          <w:numId w:val="35"/>
        </w:numPr>
        <w:rPr>
          <w:rFonts w:ascii="Arial" w:cs="Arial" w:eastAsia="Arial" w:hAnsi="Arial"/>
          <w:sz w:val="16"/>
          <w:szCs w:val="16"/>
          <w:color w:val="auto"/>
        </w:rPr>
      </w:pPr>
      <w:r>
        <w:rPr>
          <w:rFonts w:ascii="Arial" w:cs="Arial" w:eastAsia="Arial" w:hAnsi="Arial"/>
          <w:sz w:val="16"/>
          <w:szCs w:val="16"/>
          <w:color w:val="auto"/>
        </w:rPr>
        <w:t>provisions shall apply, when appropriate, to successive events and transactions; (h) the headings contained in this Agreement are for reference purposes only and shall not affect in any way the meaning or interpretation of this Agreement; (i) the parties have participated in the negotiation and drafting of this Agreement and if an ambiguity or question of interpretation should arise, this Agreement shall be construed as if drafted jointly by the parties thereto and no presumption or burden of proof shall arise favoring or burdening either party by virtue of the authorship of any of the provisions in this Agreement; (j) a reference to any Person includes such Person’s permitted successors and assigns; (k) references to “days” mean calendar days unless Business Days are expressly specified; (l) the word “will” shall be construed to have the same meaning and effect as the word “shall”; (m) the terms “party”, “party hereto”, “parties” and “party hereto” shall mean a party to this Agreement and the parties to this Agreement, as applicable, unless otherwise specified; (n) with respect to the determination of any period of time, “from” means “from and including”; and (o) any deadline or time period set forth in this Agreement that by its terms ends on a day that is not a Business Day shall be automatically extended to the next succeeding Business Day. Any agreement, instrument or statute defined or referred to herein means such agreement, instrument or statute as from time to time may be amended, supplemented, restated or modified, including (in the case of agreements or instruments) by waiver or consent and (in the case of statutes) by succession of comparable successor statutes.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BOARD OF DIRECTORS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Election of Directors</w:t>
      </w:r>
      <w:r>
        <w:rPr>
          <w:rFonts w:ascii="Arial" w:cs="Arial" w:eastAsia="Arial" w:hAnsi="Arial"/>
          <w:sz w:val="18"/>
          <w:szCs w:val="18"/>
          <w:color w:val="auto"/>
        </w:rPr>
        <w:t>.</w:t>
      </w:r>
    </w:p>
    <w:p>
      <w:pPr>
        <w:spacing w:after="0" w:line="225" w:lineRule="exact"/>
        <w:rPr>
          <w:sz w:val="20"/>
          <w:szCs w:val="20"/>
          <w:color w:val="auto"/>
        </w:rPr>
      </w:pPr>
    </w:p>
    <w:p>
      <w:pPr>
        <w:ind w:right="20" w:firstLine="1329"/>
        <w:spacing w:after="0" w:line="286" w:lineRule="auto"/>
        <w:tabs>
          <w:tab w:leader="none" w:pos="1565"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Following the </w:t>
      </w:r>
      <w:r>
        <w:rPr>
          <w:rFonts w:ascii="Arial" w:cs="Arial" w:eastAsia="Arial" w:hAnsi="Arial"/>
          <w:sz w:val="16"/>
          <w:szCs w:val="16"/>
          <w:u w:val="single" w:color="auto"/>
          <w:color w:val="auto"/>
        </w:rPr>
        <w:t>Effective Date</w:t>
      </w:r>
      <w:r>
        <w:rPr>
          <w:rFonts w:ascii="Arial" w:cs="Arial" w:eastAsia="Arial" w:hAnsi="Arial"/>
          <w:sz w:val="16"/>
          <w:szCs w:val="16"/>
          <w:color w:val="auto"/>
        </w:rPr>
        <w:t>, Corsair LP shall have the right, but not the obligation, to nominate to the Board a number of designees equal to (i) five Directors, so long as EagleTree beneficially owns, in the aggregate, 50% or more of the shares of Common Stock, (ii) four Directors, in the event that EagleTree beneficially owns, in the aggregate, 40% or more, but less than 50%, of the shares of Common Stock, (iii) three Directors, in the event that EagleTree beneficially owns, in the aggregate, 30% or more, but less than 40%, of the shares of Common Stock , (iv) two Directors, in the event that EagleTree beneficially owns, in the aggregate, 20% or more, but less than 30%, of the shares of Common Stock and (v) one Director, in the event that EagleTree beneficially owns, in the aggregate, 10% or more, but less than 20%, of the shares of Common Stock. Corsair LP shall not have the right to nominate any designees to the Board in the event that EagleTree beneficially owns, in the aggregate, less than 10% of the outstanding shares of Common Stock. In the event of any increase or decrease in the size of the Board consistent with the requirements of Section 2.4 of this Agreement, the number of Directors for which Corsair LP shall have the right to nominate to the Board pursuant to this Section 2.1(a) shall be automatically adjusted proportionately as closely as possible (rounding up to the next whole Director where necessary) to reflect the proportionate rights of Corsair LP to nominate Directors based on EagleTree’s beneficial ownership of the shares of Common Stock set forth in clauses (i), (ii), (iii) and (iv) above. The Board shall set forth the determination of such changes consistent with this Section 2.1(a) in its resolution or resolutions effectuating the change in size of the Board and such terms shall automatically be incorporated herein without further action on behalf of the parties hereto.</w:t>
      </w:r>
    </w:p>
    <w:p>
      <w:pPr>
        <w:spacing w:after="0" w:line="173" w:lineRule="exact"/>
        <w:rPr>
          <w:rFonts w:ascii="Arial" w:cs="Arial" w:eastAsia="Arial" w:hAnsi="Arial"/>
          <w:sz w:val="16"/>
          <w:szCs w:val="16"/>
          <w:color w:val="auto"/>
        </w:rPr>
      </w:pPr>
    </w:p>
    <w:p>
      <w:pPr>
        <w:ind w:firstLine="1329"/>
        <w:spacing w:after="0" w:line="275" w:lineRule="auto"/>
        <w:tabs>
          <w:tab w:leader="none" w:pos="1575"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The Company agrees, to the fullest extent permitted by applicable law, to take all necessary and desirable actions (subject to any applicable stock exchange or listing requirements) to include in the slate of nominees recommended by the Board for election at any meeting of stockholders called for the purpose of electing directors the persons designated pursuant to this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and to nominate and recommend each such individual to be elected as a Director as provided herein, and to solicit proxies or consents in favor thereof. The Company is entitled, solely for the purposes set forth in this </w:t>
      </w:r>
      <w:r>
        <w:rPr>
          <w:rFonts w:ascii="Arial" w:cs="Arial" w:eastAsia="Arial" w:hAnsi="Arial"/>
          <w:sz w:val="17"/>
          <w:szCs w:val="17"/>
          <w:u w:val="single" w:color="auto"/>
          <w:color w:val="auto"/>
        </w:rPr>
        <w:t>Section 2.1(b)</w:t>
      </w:r>
      <w:r>
        <w:rPr>
          <w:rFonts w:ascii="Arial" w:cs="Arial" w:eastAsia="Arial" w:hAnsi="Arial"/>
          <w:sz w:val="17"/>
          <w:szCs w:val="17"/>
          <w:color w:val="auto"/>
        </w:rPr>
        <w:t>, to identify such individual as an EagleTree Designee pursuant to this Agreement.</w:t>
      </w:r>
    </w:p>
    <w:p>
      <w:pPr>
        <w:spacing w:after="0" w:line="200" w:lineRule="exact"/>
        <w:rPr>
          <w:rFonts w:ascii="Arial" w:cs="Arial" w:eastAsia="Arial" w:hAnsi="Arial"/>
          <w:sz w:val="17"/>
          <w:szCs w:val="17"/>
          <w:color w:val="auto"/>
        </w:rPr>
      </w:pPr>
    </w:p>
    <w:p>
      <w:pPr>
        <w:spacing w:after="0" w:line="219" w:lineRule="exact"/>
        <w:rPr>
          <w:rFonts w:ascii="Arial" w:cs="Arial" w:eastAsia="Arial" w:hAnsi="Arial"/>
          <w:sz w:val="17"/>
          <w:szCs w:val="17"/>
          <w:color w:val="auto"/>
        </w:rPr>
      </w:pPr>
    </w:p>
    <w:p>
      <w:pPr>
        <w:ind w:left="5580" w:hanging="106"/>
        <w:spacing w:after="0"/>
        <w:tabs>
          <w:tab w:leader="none" w:pos="55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1" w:name="page82"/>
    <w:bookmarkEnd w:id="81"/>
    <w:p>
      <w:pPr>
        <w:ind w:firstLine="1321"/>
        <w:spacing w:after="0" w:line="260" w:lineRule="auto"/>
        <w:rPr>
          <w:sz w:val="20"/>
          <w:szCs w:val="20"/>
          <w:color w:val="auto"/>
        </w:rPr>
      </w:pPr>
      <w:r>
        <w:rPr>
          <w:rFonts w:ascii="Arial" w:cs="Arial" w:eastAsia="Arial" w:hAnsi="Arial"/>
          <w:sz w:val="18"/>
          <w:szCs w:val="18"/>
          <w:color w:val="auto"/>
        </w:rPr>
        <w:t xml:space="preserve">I In the event that Corsair LP has nominated fewer than the total number of designees Corsair LP shall be entitled to nominate pursuant to </w:t>
      </w: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Corsair LP shall have the right, at any time, to nominate such additional designees to which it is entitled, in which case, the Company and the Directors shall take all necessary corporate action, to the fullest extent permitted by applicable law, to (x) enable Corsair LP to nominate and effect the election or appointment of such additional individuals, whether by increasing the size of the Board or otherwise, and (y) to effect the election or appointment of such additional individuals nominated by Corsair LP to fill such newly-created directorships or to fill any other existing vacancies. Each such person whom EagleTree actually nominates pursuant to this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and whom is thereafter elected to the Board to serve as a Director shall be referred to herein as an “</w:t>
      </w:r>
      <w:r>
        <w:rPr>
          <w:rFonts w:ascii="Arial" w:cs="Arial" w:eastAsia="Arial" w:hAnsi="Arial"/>
          <w:sz w:val="18"/>
          <w:szCs w:val="18"/>
          <w:u w:val="single" w:color="auto"/>
          <w:color w:val="auto"/>
        </w:rPr>
        <w:t>EagleTree Designee</w:t>
      </w:r>
      <w:r>
        <w:rPr>
          <w:rFonts w:ascii="Arial" w:cs="Arial" w:eastAsia="Arial" w:hAnsi="Arial"/>
          <w:sz w:val="18"/>
          <w:szCs w:val="18"/>
          <w:color w:val="auto"/>
        </w:rPr>
        <w:t>”.</w:t>
      </w:r>
    </w:p>
    <w:p>
      <w:pPr>
        <w:spacing w:after="0" w:line="185" w:lineRule="exact"/>
        <w:rPr>
          <w:sz w:val="20"/>
          <w:szCs w:val="20"/>
          <w:color w:val="auto"/>
        </w:rPr>
      </w:pPr>
    </w:p>
    <w:p>
      <w:pPr>
        <w:ind w:firstLine="1329"/>
        <w:spacing w:after="0" w:line="259" w:lineRule="auto"/>
        <w:tabs>
          <w:tab w:leader="none" w:pos="15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the event that a vacancy is created at any time by the death, retirement or resignation of any EagleTree Designee, the remaining Directors and the Company shall, to the fullest extent permitted by applicable law, take all actions necessary at any time and from time to time to cause the vacancy created thereby to be filled by a new designee of Corsair LP, as soon as possible. Such new designee will be chosen by a majority of the EagleTree Designees on the Board at that time or, if there are none, by Corsair LP.</w:t>
      </w:r>
    </w:p>
    <w:p>
      <w:pPr>
        <w:spacing w:after="0" w:line="79" w:lineRule="exact"/>
        <w:rPr>
          <w:sz w:val="20"/>
          <w:szCs w:val="20"/>
          <w:color w:val="auto"/>
        </w:rPr>
      </w:pPr>
    </w:p>
    <w:p>
      <w:pPr>
        <w:ind w:firstLine="586"/>
        <w:spacing w:after="0" w:line="25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Committee Membership</w:t>
      </w:r>
      <w:r>
        <w:rPr>
          <w:rFonts w:ascii="Arial" w:cs="Arial" w:eastAsia="Arial" w:hAnsi="Arial"/>
          <w:sz w:val="18"/>
          <w:szCs w:val="18"/>
          <w:color w:val="auto"/>
        </w:rPr>
        <w:t>. So long as EagleTree beneficially owns, in the aggregate, 20% or more of the shares of Common Stock, the Company shall take all necessary and desirable actions to cause each of the Compensation Committee and the Nominating and Corporate Governance Committee to include in its membership at least one of the EagleTree Designees. Such EagleTree Designee committee member will be chosen by Corsair LP, except to the extent such membership would violate applicable federal securities laws or the listing requirements of any national securities exchange on which the Company’s securities are then listed.</w:t>
      </w:r>
    </w:p>
    <w:p>
      <w:pPr>
        <w:spacing w:after="0" w:line="80" w:lineRule="exact"/>
        <w:rPr>
          <w:sz w:val="20"/>
          <w:szCs w:val="20"/>
          <w:color w:val="auto"/>
        </w:rPr>
      </w:pPr>
    </w:p>
    <w:p>
      <w:pPr>
        <w:jc w:val="both"/>
        <w:ind w:right="280" w:firstLine="586"/>
        <w:spacing w:after="0" w:line="259"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Chairman of the Board</w:t>
      </w:r>
      <w:r>
        <w:rPr>
          <w:rFonts w:ascii="Arial" w:cs="Arial" w:eastAsia="Arial" w:hAnsi="Arial"/>
          <w:sz w:val="18"/>
          <w:szCs w:val="18"/>
          <w:color w:val="auto"/>
        </w:rPr>
        <w:t>. So long as EagleTree beneficially owns, in the aggregate, 20% or more of the shares of Common Stock, Corsair LP shall have the right to designate the Chairman of the Board from among the EagleTree Designees. For the avoidance of doubt, if EagleTree beneficially owns, in the aggregate, less than 20% of the shares of Common Stock, the Chairman of the Board is not required by this Agreement to be an EagleTree Designee.</w:t>
      </w:r>
    </w:p>
    <w:p>
      <w:pPr>
        <w:spacing w:after="0" w:line="79" w:lineRule="exact"/>
        <w:rPr>
          <w:sz w:val="20"/>
          <w:szCs w:val="20"/>
          <w:color w:val="auto"/>
        </w:rPr>
      </w:pPr>
    </w:p>
    <w:p>
      <w:pPr>
        <w:ind w:right="20" w:firstLine="586"/>
        <w:spacing w:after="0" w:line="259"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Size of Board</w:t>
      </w:r>
      <w:r>
        <w:rPr>
          <w:rFonts w:ascii="Arial" w:cs="Arial" w:eastAsia="Arial" w:hAnsi="Arial"/>
          <w:sz w:val="18"/>
          <w:szCs w:val="18"/>
          <w:color w:val="auto"/>
        </w:rPr>
        <w:t>. As of the Effective Date, the Board shall have established by resolution that the total number of Directors constituting the Board on the Effective Date shall be eight. So long as EagleTree beneficially owns, in the aggregate, 20% or more of the shares of Common Stock, any increases or decreases to the size of the Board will require approval by at least a majority of the EagleTree Designees then serving as Directors or, if no EagleTree Designee is then serving as a Director, the written approval of Corsair LP.</w:t>
      </w:r>
    </w:p>
    <w:p>
      <w:pPr>
        <w:spacing w:after="0" w:line="79" w:lineRule="exact"/>
        <w:rPr>
          <w:sz w:val="20"/>
          <w:szCs w:val="20"/>
          <w:color w:val="auto"/>
        </w:rPr>
      </w:pPr>
    </w:p>
    <w:p>
      <w:pPr>
        <w:ind w:right="380" w:firstLine="586"/>
        <w:spacing w:after="0" w:line="277"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Amendments to the Charter and Bylaws</w:t>
      </w:r>
      <w:r>
        <w:rPr>
          <w:rFonts w:ascii="Arial" w:cs="Arial" w:eastAsia="Arial" w:hAnsi="Arial"/>
          <w:sz w:val="18"/>
          <w:szCs w:val="18"/>
          <w:color w:val="auto"/>
        </w:rPr>
        <w:t>. So long as EagleTree beneficially owns, in the aggregate, 50% or more of the shares of Common Stock, the Board shall not take any action to cause the Company to amend the provisions in the Charter or Bylaws:</w:t>
      </w:r>
    </w:p>
    <w:p>
      <w:pPr>
        <w:spacing w:after="0" w:line="170" w:lineRule="exact"/>
        <w:rPr>
          <w:sz w:val="20"/>
          <w:szCs w:val="20"/>
          <w:color w:val="auto"/>
        </w:rPr>
      </w:pPr>
    </w:p>
    <w:p>
      <w:pPr>
        <w:ind w:left="1580" w:hanging="251"/>
        <w:spacing w:after="0"/>
        <w:tabs>
          <w:tab w:leader="none" w:pos="15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providing that Directors may be removed with or without cause upon majority vote of the outstanding shares of Common Stock;</w:t>
      </w:r>
    </w:p>
    <w:p>
      <w:pPr>
        <w:spacing w:after="0" w:line="236" w:lineRule="exact"/>
        <w:rPr>
          <w:rFonts w:ascii="Arial" w:cs="Arial" w:eastAsia="Arial" w:hAnsi="Arial"/>
          <w:sz w:val="17"/>
          <w:szCs w:val="17"/>
          <w:color w:val="auto"/>
        </w:rPr>
      </w:pPr>
    </w:p>
    <w:p>
      <w:pPr>
        <w:ind w:left="1580" w:hanging="251"/>
        <w:spacing w:after="0"/>
        <w:tabs>
          <w:tab w:leader="none" w:pos="1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changing the size of the Board;</w:t>
      </w:r>
    </w:p>
    <w:p>
      <w:pPr>
        <w:spacing w:after="0" w:line="225" w:lineRule="exact"/>
        <w:rPr>
          <w:sz w:val="20"/>
          <w:szCs w:val="20"/>
          <w:color w:val="auto"/>
        </w:rPr>
      </w:pPr>
    </w:p>
    <w:p>
      <w:pPr>
        <w:ind w:right="120" w:firstLine="1321"/>
        <w:spacing w:after="0" w:line="277" w:lineRule="auto"/>
        <w:rPr>
          <w:sz w:val="20"/>
          <w:szCs w:val="20"/>
          <w:color w:val="auto"/>
        </w:rPr>
      </w:pPr>
      <w:r>
        <w:rPr>
          <w:rFonts w:ascii="Arial" w:cs="Arial" w:eastAsia="Arial" w:hAnsi="Arial"/>
          <w:sz w:val="18"/>
          <w:szCs w:val="18"/>
          <w:color w:val="auto"/>
        </w:rPr>
        <w:t>I providing for stockholder action by written consent when EagleTree beneficially owns, in the aggregate, 50% or more of the shares of Common Stock; or</w:t>
      </w:r>
    </w:p>
    <w:p>
      <w:pPr>
        <w:spacing w:after="0" w:line="170" w:lineRule="exact"/>
        <w:rPr>
          <w:sz w:val="20"/>
          <w:szCs w:val="20"/>
          <w:color w:val="auto"/>
        </w:rPr>
      </w:pPr>
    </w:p>
    <w:p>
      <w:pPr>
        <w:ind w:right="20" w:firstLine="1329"/>
        <w:spacing w:after="0" w:line="277" w:lineRule="auto"/>
        <w:tabs>
          <w:tab w:leader="none" w:pos="1575"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providing for the ability to call special meetings of stockholders when EagleTree beneficially owns, in the aggregate, 50% or more of the shares of Common Stock.</w:t>
      </w:r>
    </w:p>
    <w:p>
      <w:pPr>
        <w:spacing w:after="0" w:line="62" w:lineRule="exact"/>
        <w:rPr>
          <w:sz w:val="20"/>
          <w:szCs w:val="20"/>
          <w:color w:val="auto"/>
        </w:rPr>
      </w:pPr>
    </w:p>
    <w:p>
      <w:pPr>
        <w:ind w:right="260" w:firstLine="586"/>
        <w:spacing w:after="0" w:line="293"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Fees</w:t>
      </w:r>
      <w:r>
        <w:rPr>
          <w:rFonts w:ascii="Arial" w:cs="Arial" w:eastAsia="Arial" w:hAnsi="Arial"/>
          <w:sz w:val="16"/>
          <w:szCs w:val="16"/>
          <w:color w:val="auto"/>
        </w:rPr>
        <w:t>. For so long as the Company is a “controlled company” for purposes of the stock exchange rules, the EagleTree Designees shall not receive any compensation from the Company for their service as directors of the Board (including for service as chairman of the Board) or members of committees of the Board (including for service as chairman of any committee). However, the Company shall pay the reasonable out-of-pocket expenses incurred by each EagleTree Designee in connection with performing his or her duties as a member of the Board or any committee thereof, including the reasonable out-of-pocket expenses incurred by such person for attending meetings of the Board or any committee thereof or meetings of any board of directors or other similar managing body (and any committee thereof) of any Subsidiary of the Company. In addition, the Company will reimburse</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82" w:name="page83"/>
    <w:bookmarkEnd w:id="82"/>
    <w:p>
      <w:pPr>
        <w:jc w:val="both"/>
        <w:ind w:right="100"/>
        <w:spacing w:after="0" w:line="263" w:lineRule="auto"/>
        <w:rPr>
          <w:sz w:val="20"/>
          <w:szCs w:val="20"/>
          <w:color w:val="auto"/>
        </w:rPr>
      </w:pPr>
      <w:r>
        <w:rPr>
          <w:rFonts w:ascii="Arial" w:cs="Arial" w:eastAsia="Arial" w:hAnsi="Arial"/>
          <w:sz w:val="18"/>
          <w:szCs w:val="18"/>
          <w:color w:val="auto"/>
        </w:rPr>
        <w:t>EagleTree for reasonable travel and other out-of-pocket expenses incurred by employees of EagleTree as it relates to Company matters and incurred at the request of the EagleTree Designees; provided that such amount shall not include salaries of such employees, any EagleTree overhead or any costs that are not directly related to Company matters.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INFORMATION</w:t>
      </w:r>
    </w:p>
    <w:p>
      <w:pPr>
        <w:spacing w:after="0" w:line="225" w:lineRule="exact"/>
        <w:rPr>
          <w:sz w:val="20"/>
          <w:szCs w:val="20"/>
          <w:color w:val="auto"/>
        </w:rPr>
      </w:pPr>
    </w:p>
    <w:p>
      <w:pPr>
        <w:ind w:firstLine="586"/>
        <w:spacing w:after="0" w:line="285"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Books and Records; Access</w:t>
      </w:r>
      <w:r>
        <w:rPr>
          <w:rFonts w:ascii="Arial" w:cs="Arial" w:eastAsia="Arial" w:hAnsi="Arial"/>
          <w:sz w:val="16"/>
          <w:szCs w:val="16"/>
          <w:color w:val="auto"/>
        </w:rPr>
        <w:t xml:space="preserve">. The Company shall, and shall cause its Subsidiaries to, keep proper books, records and accounts, in which full and correct entries shall be made of all financial transactions and the assets and business of the Company and each of its Subsidiaries in accordance with generally accepted accounting principles. For so long as (x) no EagleTree Designee is then serving as a Director, and (y) EagleTree beneficially owns 3 % or more of the outstanding shares of Common Stock, the Company shall, and shall cause its Subsidiaries to, permit Corsair LP and its designated representatives, at reasonable times and upon reasonable prior notice to the Company, to inspect, review and/or make copies and extracts from the books and records of the Company or any of such Subsidiaries and to discuss the affairs, finances and condition of the Company or any of such Subsidiaries with the officers of the Company or any such Subsidiary. For so long as (x) no EagleTree Designee is then serving as a Director, and (y) EagleTree beneficially owns 3% or more of the outstanding shares of Common Stock, the Company, upon the written request of Corsair LP, shall, and shall cause its Subsidiaries to, provide Corsair LP, in addition to other information that might be reasonably requested by Corsair LP from time to time, (i) direct access to the Company’s auditors and officers, (ii) the ability to link Corsair LP’s systems into the Company’s general ledger and other systems in order to enable Corsair LP to retrieve data on a “real-time” basis, (iii) quarter-end reports, in a format to be prescribed by Corsair LP, to be provided within 45 days after the end of each quarter, (iv) copies of all materials provided to the Board (or committee of the Board) at the same time as provided to the Directors (or members of a committee of the Board), (v) access to appropriate officers and directors of the Company and its Subsidiaries at such times as may be requested by Corsair LP, as the case may be, for consultation with Corsair LP with respect to matters relating to the business and affairs of the Company and its Subsidiaries, (vi) information in advance with respect to any significant corporate actions, including, without limitation, extraordinary dividends, stock redemptions or repurchases, mergers, acquisitions or dispositions of assets, issuances of significant amounts of debt or equity and material amendments to the Charter or Bylaws or the organizational documents of any of its Subsidiaries, and to provide Corsair LP with the right to consult with the Company and its Subsidiaries with respect to such actions, (vii) flash data, in a format to be prescribed by Corsair LP, to be provided within ten days after the end of each quarter and (viii) to the extent otherwise prepared by the Company, operating and capital expenditure budgets and periodic information packages relating to the operations and cash flows of the Company and its Subsidiaries (all such information so furnished pursuant to this </w:t>
      </w:r>
      <w:r>
        <w:rPr>
          <w:rFonts w:ascii="Arial" w:cs="Arial" w:eastAsia="Arial" w:hAnsi="Arial"/>
          <w:sz w:val="16"/>
          <w:szCs w:val="16"/>
          <w:u w:val="single" w:color="auto"/>
          <w:color w:val="auto"/>
        </w:rPr>
        <w:t>Section 3.1</w:t>
      </w:r>
      <w:r>
        <w:rPr>
          <w:rFonts w:ascii="Arial" w:cs="Arial" w:eastAsia="Arial" w:hAnsi="Arial"/>
          <w:sz w:val="16"/>
          <w:szCs w:val="16"/>
          <w:color w:val="auto"/>
        </w:rPr>
        <w:t>, the “</w:t>
      </w:r>
      <w:r>
        <w:rPr>
          <w:rFonts w:ascii="Arial" w:cs="Arial" w:eastAsia="Arial" w:hAnsi="Arial"/>
          <w:sz w:val="16"/>
          <w:szCs w:val="16"/>
          <w:u w:val="single" w:color="auto"/>
          <w:color w:val="auto"/>
        </w:rPr>
        <w:t>Information</w:t>
      </w:r>
      <w:r>
        <w:rPr>
          <w:rFonts w:ascii="Arial" w:cs="Arial" w:eastAsia="Arial" w:hAnsi="Arial"/>
          <w:sz w:val="16"/>
          <w:szCs w:val="16"/>
          <w:color w:val="auto"/>
        </w:rPr>
        <w:t xml:space="preserve">”). The Company agrees to consider, in good faith, the recommendations of Corsair LP in connection with the matters on which the Company is consulted as described above. Subject to </w:t>
      </w:r>
      <w:r>
        <w:rPr>
          <w:rFonts w:ascii="Arial" w:cs="Arial" w:eastAsia="Arial" w:hAnsi="Arial"/>
          <w:sz w:val="16"/>
          <w:szCs w:val="16"/>
          <w:u w:val="single" w:color="auto"/>
          <w:color w:val="auto"/>
        </w:rPr>
        <w:t>Section 3.2</w:t>
      </w:r>
      <w:r>
        <w:rPr>
          <w:rFonts w:ascii="Arial" w:cs="Arial" w:eastAsia="Arial" w:hAnsi="Arial"/>
          <w:sz w:val="16"/>
          <w:szCs w:val="16"/>
          <w:color w:val="auto"/>
        </w:rPr>
        <w:t>, Corsair LP (and any party receiving Information from Corsair LP) shall receive Information and shall maintain the confidentiality of such Information, and the Company shall not be required to disclose any privileged Information of the Company so long as the Company has used its commercially reasonable efforts to enter into an arrangement pursuant to which it may provide such information to Corsair LP without the loss of any such privilege.</w:t>
      </w:r>
    </w:p>
    <w:p>
      <w:pPr>
        <w:spacing w:after="0" w:line="291" w:lineRule="exact"/>
        <w:rPr>
          <w:sz w:val="20"/>
          <w:szCs w:val="20"/>
          <w:color w:val="auto"/>
        </w:rPr>
      </w:pPr>
    </w:p>
    <w:p>
      <w:pPr>
        <w:ind w:right="60" w:firstLine="586"/>
        <w:spacing w:after="0" w:line="291"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Sharing of Information.</w:t>
      </w:r>
      <w:r>
        <w:rPr>
          <w:rFonts w:ascii="Arial" w:cs="Arial" w:eastAsia="Arial" w:hAnsi="Arial"/>
          <w:sz w:val="16"/>
          <w:szCs w:val="16"/>
          <w:color w:val="auto"/>
        </w:rPr>
        <w:t xml:space="preserve"> Individuals associated with EagleTree may from time to time serve on the Board or the equivalent governing body of the Company’s Subsidiaries. The Company, on its behalf and on behalf of its Subsidiaries, recognizes that such individuals (i) shall from time to time receive non-public information concerning the Company and its Subsidiaries, and (ii) may (subject to the obligation to maintain the confidentiality of such information in accordance with </w:t>
      </w:r>
      <w:r>
        <w:rPr>
          <w:rFonts w:ascii="Arial" w:cs="Arial" w:eastAsia="Arial" w:hAnsi="Arial"/>
          <w:sz w:val="16"/>
          <w:szCs w:val="16"/>
          <w:u w:val="single" w:color="auto"/>
          <w:color w:val="auto"/>
        </w:rPr>
        <w:t>Section 3.1</w:t>
      </w:r>
      <w:r>
        <w:rPr>
          <w:rFonts w:ascii="Arial" w:cs="Arial" w:eastAsia="Arial" w:hAnsi="Arial"/>
          <w:sz w:val="16"/>
          <w:szCs w:val="16"/>
          <w:color w:val="auto"/>
        </w:rPr>
        <w:t>) share such information with EagleTree, EagleTree’s direct and indirect investors and other individuals associated with EagleTree. Such sharing shall be for the dual purpose of facilitating support to such individuals in their capacity as Directors (or members of the governing body of any Subsidiary) and enabling EagleTree and its direct and indirect investors to better evaluate the Company’s performance and prospects. The Company, on behalf of itself and its Subsidiaries, hereby irrevocably consents to such sharing.</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83" w:name="page84"/>
    <w:bookmarkEnd w:id="83"/>
    <w:p>
      <w:pPr>
        <w:jc w:val="center"/>
        <w:ind w:right="-5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GENERAL PROVISIONS</w:t>
      </w:r>
    </w:p>
    <w:p>
      <w:pPr>
        <w:spacing w:after="0" w:line="225" w:lineRule="exact"/>
        <w:rPr>
          <w:sz w:val="20"/>
          <w:szCs w:val="20"/>
          <w:color w:val="auto"/>
        </w:rPr>
      </w:pPr>
    </w:p>
    <w:p>
      <w:pPr>
        <w:ind w:right="120" w:firstLine="586"/>
        <w:spacing w:after="0" w:line="342"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shall terminate on the earlier to occur of (i) such time as EagleTree no longer beneficially owns 3% or more of the outstanding shares of Common Stock and (ii) the delivery of a written notice by Corsair LP to the Company requesting that this Agreement terminate.</w:t>
      </w:r>
    </w:p>
    <w:p>
      <w:pPr>
        <w:spacing w:after="0" w:line="16" w:lineRule="exact"/>
        <w:rPr>
          <w:sz w:val="20"/>
          <w:szCs w:val="20"/>
          <w:color w:val="auto"/>
        </w:rPr>
      </w:pPr>
    </w:p>
    <w:p>
      <w:pPr>
        <w:ind w:firstLine="586"/>
        <w:spacing w:after="0" w:line="275"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Notices</w:t>
      </w:r>
      <w:r>
        <w:rPr>
          <w:rFonts w:ascii="Arial" w:cs="Arial" w:eastAsia="Arial" w:hAnsi="Arial"/>
          <w:sz w:val="17"/>
          <w:szCs w:val="17"/>
          <w:color w:val="auto"/>
        </w:rPr>
        <w:t>. Any notice provided for in this Agreement shall be in writing and shall be either personally delivered, sent by electronic transmission or sent by reputable overnight courier service (charges prepaid) to the Company at the address set forth below and to any other recipient at the address indicated on the Company’s records, or at such address or to the attention of such other Person as the recipient party has specified by prior written notice to the sending party. Notices shall be deemed to have been given hereunder when delivered personally, sent by electronic transmission or upon actual delivery by reputable overnight courier service (as indicated in such courier service’s records).</w:t>
      </w:r>
    </w:p>
    <w:p>
      <w:pPr>
        <w:spacing w:after="0" w:line="176"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The Company’s address is:</w:t>
      </w:r>
    </w:p>
    <w:p>
      <w:pPr>
        <w:spacing w:after="0" w:line="11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Corsair Gaming, Inc.</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47100 Bayside Parkway</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Fremont, CA 94538</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Attention: Michael Potter</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ichael.potter@corsair.com</w:t>
      </w:r>
    </w:p>
    <w:p>
      <w:pPr>
        <w:spacing w:after="0" w:line="21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Corsair LP’s address is:</w:t>
      </w:r>
    </w:p>
    <w:p>
      <w:pPr>
        <w:spacing w:after="0" w:line="22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c/o Corsair Group (Cayman), LP</w:t>
      </w:r>
    </w:p>
    <w:p>
      <w:pPr>
        <w:ind w:left="1320"/>
        <w:spacing w:after="0" w:line="193" w:lineRule="auto"/>
        <w:rPr>
          <w:sz w:val="20"/>
          <w:szCs w:val="20"/>
          <w:color w:val="auto"/>
        </w:rPr>
      </w:pPr>
      <w:r>
        <w:rPr>
          <w:rFonts w:ascii="Arial" w:cs="Arial" w:eastAsia="Arial" w:hAnsi="Arial"/>
          <w:sz w:val="18"/>
          <w:szCs w:val="18"/>
          <w:color w:val="auto"/>
        </w:rPr>
        <w:t>1185 Avenue of the Americas, 39</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New York, NY 10036</w:t>
      </w:r>
    </w:p>
    <w:p>
      <w:pPr>
        <w:spacing w:after="0" w:line="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Attention: Anup Bagaria and George Majoros</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 xml:space="preserve">Email: ab@eagletree.com; </w:t>
      </w:r>
      <w:r>
        <w:rPr>
          <w:rFonts w:ascii="Arial" w:cs="Arial" w:eastAsia="Arial" w:hAnsi="Arial"/>
          <w:sz w:val="18"/>
          <w:szCs w:val="18"/>
          <w:u w:val="single" w:color="auto"/>
          <w:color w:val="auto"/>
        </w:rPr>
        <w:t>gm@eagletree.com</w:t>
      </w:r>
    </w:p>
    <w:p>
      <w:pPr>
        <w:spacing w:after="0" w:line="103" w:lineRule="exact"/>
        <w:rPr>
          <w:sz w:val="20"/>
          <w:szCs w:val="20"/>
          <w:color w:val="auto"/>
        </w:rPr>
      </w:pPr>
    </w:p>
    <w:p>
      <w:pPr>
        <w:ind w:right="80" w:firstLine="586"/>
        <w:spacing w:after="0" w:line="27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Amendment; Waiver</w:t>
      </w:r>
      <w:r>
        <w:rPr>
          <w:rFonts w:ascii="Arial" w:cs="Arial" w:eastAsia="Arial" w:hAnsi="Arial"/>
          <w:sz w:val="17"/>
          <w:szCs w:val="17"/>
          <w:color w:val="auto"/>
        </w:rPr>
        <w:t>. This Agreement may be amended, supplemented or otherwise modified only by a written instrument executed by the Company and the other parties hereto. Neither the failure nor delay on the part of any party hereto to exercise any right, remedy, power or privilege under this Agreement shall operate as a waiver thereof, nor shall any single or partial exercise of any right, remedy, power or privilege preclude any other or further exercise of the same or of any other right, remedy, power or privilege, nor shall any waiver of any right, remedy, power or privilege with respect to any occurrence be construed as a waiver of right, remedy, power or privilege with respect to any other occurrence. No waiver shall be effective unless it is in writing and is signed by the party asserted to have granted such waiver.</w:t>
      </w:r>
    </w:p>
    <w:p>
      <w:pPr>
        <w:spacing w:after="0" w:line="70" w:lineRule="exact"/>
        <w:rPr>
          <w:sz w:val="20"/>
          <w:szCs w:val="20"/>
          <w:color w:val="auto"/>
        </w:rPr>
      </w:pPr>
    </w:p>
    <w:p>
      <w:pPr>
        <w:ind w:right="40" w:firstLine="586"/>
        <w:spacing w:after="0" w:line="279"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Further Assurances</w:t>
      </w:r>
      <w:r>
        <w:rPr>
          <w:rFonts w:ascii="Arial" w:cs="Arial" w:eastAsia="Arial" w:hAnsi="Arial"/>
          <w:sz w:val="17"/>
          <w:szCs w:val="17"/>
          <w:color w:val="auto"/>
        </w:rPr>
        <w:t>. The parties hereto shall sign such further documents, cause such meetings to be held, resolutions passed, exercise their votes and do and perform and cause to be done such further acts and things necessary, proper or advisable in order to give full effect to this Agreement and every provision hereof. To the fullest extent permitted by law, the Company shall not directly or indirectly take any action that is intended to, or would reasonably be expected to result in, Corsair LP being deprived of the rights contemplated by this Agreement.</w:t>
      </w:r>
    </w:p>
    <w:p>
      <w:pPr>
        <w:spacing w:after="0" w:line="63" w:lineRule="exact"/>
        <w:rPr>
          <w:sz w:val="20"/>
          <w:szCs w:val="20"/>
          <w:color w:val="auto"/>
        </w:rPr>
      </w:pPr>
    </w:p>
    <w:p>
      <w:pPr>
        <w:ind w:right="80" w:firstLine="586"/>
        <w:spacing w:after="0" w:line="259"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This Agreement shall inure to the benefit of and be binding on the parties hereto and their respective successors and Permitted Assigns. This Agreement may not be assigned without the express prior written consent of the other parties hereto, and any attempted assignment, without such consents, shall be null and void;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Corsair LP shall be entitled to assign, in whole or in part, to any of its Permitted Assigns without such prior written consent any of its rights hereunder.</w:t>
      </w:r>
    </w:p>
    <w:p>
      <w:pPr>
        <w:spacing w:after="0" w:line="79" w:lineRule="exact"/>
        <w:rPr>
          <w:sz w:val="20"/>
          <w:szCs w:val="20"/>
          <w:color w:val="auto"/>
        </w:rPr>
      </w:pPr>
    </w:p>
    <w:p>
      <w:pPr>
        <w:ind w:right="140" w:firstLine="586"/>
        <w:spacing w:after="0" w:line="308"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Third Parties</w:t>
      </w:r>
      <w:r>
        <w:rPr>
          <w:rFonts w:ascii="Arial" w:cs="Arial" w:eastAsia="Arial" w:hAnsi="Arial"/>
          <w:sz w:val="17"/>
          <w:szCs w:val="17"/>
          <w:color w:val="auto"/>
        </w:rPr>
        <w:t xml:space="preserve">. Except as provided for in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with respect to individuals associated with EagleTree, this Agreement does not create any rights, claims or benefits inuring to any person that is not a party hereto nor create or establish any third party beneficiary hereto.</w:t>
      </w:r>
    </w:p>
    <w:p>
      <w:pPr>
        <w:spacing w:after="0" w:line="106" w:lineRule="exact"/>
        <w:rPr>
          <w:sz w:val="20"/>
          <w:szCs w:val="20"/>
          <w:color w:val="auto"/>
        </w:rPr>
      </w:pPr>
    </w:p>
    <w:p>
      <w:pPr>
        <w:ind w:right="200" w:firstLine="586"/>
        <w:spacing w:after="0" w:line="277"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Delaware, without regard to principles of conflict of laws thereof.</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84" w:name="page85"/>
    <w:bookmarkEnd w:id="84"/>
    <w:p>
      <w:pPr>
        <w:ind w:right="160" w:firstLine="586"/>
        <w:spacing w:after="0" w:line="253"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Jurisdiction; Waiver of Jury Trial</w:t>
      </w:r>
      <w:r>
        <w:rPr>
          <w:rFonts w:ascii="Arial" w:cs="Arial" w:eastAsia="Arial" w:hAnsi="Arial"/>
          <w:sz w:val="18"/>
          <w:szCs w:val="18"/>
          <w:color w:val="auto"/>
        </w:rPr>
        <w:t xml:space="preserve">. In any judicial proceeding involving any dispute, controversy or claim arising out of or relating to this Agreement, each of the parties unconditionally accepts the jurisdiction and venue of the Court of Chancery of the State of Delaware or, if the Court of Chancery does not have subject matter jurisdiction over this matter, the Superior Court of the State of Delaware (Complex Commercial Division), or if jurisdiction over the matter is vested exclusively in federal courts, the United States District Court for the District of Delaware, and the appellate courts to which orders and judgments thereof may be appealed. In any such judicial proceeding, the parties agree that in addition to any method for the service of process permitted or required by such courts, to the fullest extent permitted by law, service of process may be made by delivery provided pursuant to the directions in </w:t>
      </w:r>
      <w:r>
        <w:rPr>
          <w:rFonts w:ascii="Arial" w:cs="Arial" w:eastAsia="Arial" w:hAnsi="Arial"/>
          <w:sz w:val="18"/>
          <w:szCs w:val="18"/>
          <w:u w:val="single" w:color="auto"/>
          <w:color w:val="auto"/>
        </w:rPr>
        <w:t>Section 4.2</w:t>
      </w:r>
      <w:r>
        <w:rPr>
          <w:rFonts w:ascii="Arial" w:cs="Arial" w:eastAsia="Arial" w:hAnsi="Arial"/>
          <w:sz w:val="18"/>
          <w:szCs w:val="18"/>
          <w:color w:val="auto"/>
        </w:rPr>
        <w:t>. EACH OF THE PARTIES HEREBY WAIVES TO THE FULLEST EXTENT PERMITTED BY APPLICABLE LAW TRIAL BY JURY IN ANY JUDICIAL PROCEEDING INVOLVING ANY DISPUTE, CONTROVERSY OR CLAIM ARISING OUT OF OR RELATING TO THIS AGREEMENT.</w:t>
      </w:r>
    </w:p>
    <w:p>
      <w:pPr>
        <w:spacing w:after="0" w:line="88" w:lineRule="exact"/>
        <w:rPr>
          <w:sz w:val="20"/>
          <w:szCs w:val="20"/>
          <w:color w:val="auto"/>
        </w:rPr>
      </w:pPr>
    </w:p>
    <w:p>
      <w:pPr>
        <w:ind w:right="80" w:firstLine="586"/>
        <w:spacing w:after="0" w:line="279" w:lineRule="auto"/>
        <w:rPr>
          <w:sz w:val="20"/>
          <w:szCs w:val="20"/>
          <w:color w:val="auto"/>
        </w:rPr>
      </w:pPr>
      <w:r>
        <w:rPr>
          <w:rFonts w:ascii="Arial" w:cs="Arial" w:eastAsia="Arial" w:hAnsi="Arial"/>
          <w:sz w:val="17"/>
          <w:szCs w:val="17"/>
          <w:color w:val="auto"/>
        </w:rPr>
        <w:t xml:space="preserve">4.9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Each party hereto acknowledges and agrees that in the event of any breach of this Agreement by any of them, the other parties hereto would be irreparably harmed and could not be made whole by monetary damages. Each party accordingly agrees to waive the defense in any action for specific performance that a remedy at law would be adequate and that the parties, in addition to any other remedy to which they may be entitled at law or in equity, shall be entitled to specific performance of this Agreement without the posting of any bond.</w:t>
      </w:r>
    </w:p>
    <w:p>
      <w:pPr>
        <w:spacing w:after="0" w:line="63" w:lineRule="exact"/>
        <w:rPr>
          <w:sz w:val="20"/>
          <w:szCs w:val="20"/>
          <w:color w:val="auto"/>
        </w:rPr>
      </w:pPr>
    </w:p>
    <w:p>
      <w:pPr>
        <w:ind w:right="60" w:firstLine="586"/>
        <w:spacing w:after="0" w:line="311" w:lineRule="auto"/>
        <w:rPr>
          <w:sz w:val="20"/>
          <w:szCs w:val="20"/>
          <w:color w:val="auto"/>
        </w:rPr>
      </w:pPr>
      <w:r>
        <w:rPr>
          <w:rFonts w:ascii="Arial" w:cs="Arial" w:eastAsia="Arial" w:hAnsi="Arial"/>
          <w:sz w:val="16"/>
          <w:szCs w:val="16"/>
          <w:color w:val="auto"/>
        </w:rPr>
        <w:t xml:space="preserve">4.10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sets forth the entire understanding of the parties hereto with respect to the subject matter hereof. There are no agreements, representations, warranties, covenants or understandings with respect to the subject matter hereof or thereof other than those expressly set forth herein and therein. This Agreement supersedes all other prior agreements and understandings between the parties with respect to such subject matter.</w:t>
      </w:r>
    </w:p>
    <w:p>
      <w:pPr>
        <w:spacing w:after="0" w:line="41" w:lineRule="exact"/>
        <w:rPr>
          <w:sz w:val="20"/>
          <w:szCs w:val="20"/>
          <w:color w:val="auto"/>
        </w:rPr>
      </w:pPr>
    </w:p>
    <w:p>
      <w:pPr>
        <w:ind w:firstLine="586"/>
        <w:spacing w:after="0" w:line="257"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or the application of such provision to any Person or circumstance or in any jurisdiction, shall be held to be invalid or unenforceable to any extent, (i) the remainder of this Agreement shall not be affected thereby, and each other provision hereof shall be valid and enforceable to the fullest extent permitted by law, (ii) as to such Person or circumstance or in such jurisdiction such provision shall be reformed to be valid and enforceable to the fullest extent permitted by law and (iii) the application of such provision to other Persons or circumstances or in other jurisdictions shall not be affected thereby.</w:t>
      </w:r>
    </w:p>
    <w:p>
      <w:pPr>
        <w:spacing w:after="0" w:line="80" w:lineRule="exact"/>
        <w:rPr>
          <w:sz w:val="20"/>
          <w:szCs w:val="20"/>
          <w:color w:val="auto"/>
        </w:rPr>
      </w:pPr>
    </w:p>
    <w:p>
      <w:pPr>
        <w:ind w:right="540" w:firstLine="586"/>
        <w:spacing w:after="0" w:line="342" w:lineRule="auto"/>
        <w:rPr>
          <w:sz w:val="20"/>
          <w:szCs w:val="20"/>
          <w:color w:val="auto"/>
        </w:rPr>
      </w:pPr>
      <w:r>
        <w:rPr>
          <w:rFonts w:ascii="Arial" w:cs="Arial" w:eastAsia="Arial" w:hAnsi="Arial"/>
          <w:sz w:val="16"/>
          <w:szCs w:val="16"/>
          <w:color w:val="auto"/>
        </w:rPr>
        <w:t xml:space="preserve">4.12 </w:t>
      </w:r>
      <w:r>
        <w:rPr>
          <w:rFonts w:ascii="Arial" w:cs="Arial" w:eastAsia="Arial" w:hAnsi="Arial"/>
          <w:sz w:val="16"/>
          <w:szCs w:val="16"/>
          <w:u w:val="single" w:color="auto"/>
          <w:color w:val="auto"/>
        </w:rPr>
        <w:t>Table of Contents, Headings and Captions</w:t>
      </w:r>
      <w:r>
        <w:rPr>
          <w:rFonts w:ascii="Arial" w:cs="Arial" w:eastAsia="Arial" w:hAnsi="Arial"/>
          <w:sz w:val="16"/>
          <w:szCs w:val="16"/>
          <w:color w:val="auto"/>
        </w:rPr>
        <w:t>. The table of contents, headings, subheadings and captions contained in this Agreement are included for convenience of reference only, and in no way define, limit or describe the scope of this Agreement or the intent of any provision hereof.</w:t>
      </w:r>
    </w:p>
    <w:p>
      <w:pPr>
        <w:spacing w:after="0" w:line="83" w:lineRule="exact"/>
        <w:rPr>
          <w:sz w:val="20"/>
          <w:szCs w:val="20"/>
          <w:color w:val="auto"/>
        </w:rPr>
      </w:pPr>
    </w:p>
    <w:p>
      <w:pPr>
        <w:ind w:right="140" w:firstLine="586"/>
        <w:spacing w:after="0" w:line="301" w:lineRule="auto"/>
        <w:rPr>
          <w:sz w:val="20"/>
          <w:szCs w:val="20"/>
          <w:color w:val="auto"/>
        </w:rPr>
      </w:pPr>
      <w:r>
        <w:rPr>
          <w:rFonts w:ascii="Arial" w:cs="Arial" w:eastAsia="Arial" w:hAnsi="Arial"/>
          <w:sz w:val="16"/>
          <w:szCs w:val="16"/>
          <w:color w:val="auto"/>
        </w:rPr>
        <w:t xml:space="preserve">4.13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and any amendment hereto may be signed in any number of separate counterparts, each of which shall be deemed an original, but all of which taken together shall constitute one Agreement (or amendment, as applicable). Counterparts may be delivered via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4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u w:val="single" w:color="auto"/>
          <w:color w:val="auto"/>
        </w:rPr>
        <w:t>Effectiveness</w:t>
      </w:r>
      <w:r>
        <w:rPr>
          <w:rFonts w:ascii="Arial" w:cs="Arial" w:eastAsia="Arial" w:hAnsi="Arial"/>
          <w:sz w:val="18"/>
          <w:szCs w:val="18"/>
          <w:color w:val="auto"/>
        </w:rPr>
        <w:t xml:space="preserve">. This Agreement shall become effective upon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5" w:name="page86"/>
    <w:bookmarkEnd w:id="85"/>
    <w:p>
      <w:pPr>
        <w:ind w:firstLine="586"/>
        <w:spacing w:after="0" w:line="269" w:lineRule="auto"/>
        <w:rPr>
          <w:sz w:val="20"/>
          <w:szCs w:val="20"/>
          <w:color w:val="auto"/>
        </w:rPr>
      </w:pPr>
      <w:r>
        <w:rPr>
          <w:rFonts w:ascii="Arial" w:cs="Arial" w:eastAsia="Arial" w:hAnsi="Arial"/>
          <w:sz w:val="17"/>
          <w:szCs w:val="17"/>
          <w:color w:val="auto"/>
        </w:rPr>
        <w:t xml:space="preserve">4.15 </w:t>
      </w:r>
      <w:r>
        <w:rPr>
          <w:rFonts w:ascii="Arial" w:cs="Arial" w:eastAsia="Arial" w:hAnsi="Arial"/>
          <w:sz w:val="17"/>
          <w:szCs w:val="17"/>
          <w:u w:val="single" w:color="auto"/>
          <w:color w:val="auto"/>
        </w:rPr>
        <w:t>No Recourse</w:t>
      </w:r>
      <w:r>
        <w:rPr>
          <w:rFonts w:ascii="Arial" w:cs="Arial" w:eastAsia="Arial" w:hAnsi="Arial"/>
          <w:sz w:val="17"/>
          <w:szCs w:val="17"/>
          <w:color w:val="auto"/>
        </w:rPr>
        <w:t>. Notwithstanding anything that may be expressed or implied in this Agreement or otherwise, and notwithstanding the fact that Corsair LP is an exempted limited partnership, each party hereto covenants, agrees and acknowledges that no recourse under this Agreement or any documents or instruments delivered by any Person pursuant hereto or otherwise shall be had against any of EagleTree or any of its former, current or future direct or indirect equity holders, Controlling Persons, stockholders, directors, officers, employees, agents, Affiliates, members, financing sources, managers, general or limited partners or assignees (each a “</w:t>
      </w:r>
      <w:r>
        <w:rPr>
          <w:rFonts w:ascii="Arial" w:cs="Arial" w:eastAsia="Arial" w:hAnsi="Arial"/>
          <w:sz w:val="17"/>
          <w:szCs w:val="17"/>
          <w:u w:val="single" w:color="auto"/>
          <w:color w:val="auto"/>
        </w:rPr>
        <w:t>Related Party</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Related Parties</w:t>
      </w:r>
      <w:r>
        <w:rPr>
          <w:rFonts w:ascii="Arial" w:cs="Arial" w:eastAsia="Arial" w:hAnsi="Arial"/>
          <w:sz w:val="17"/>
          <w:szCs w:val="17"/>
          <w:color w:val="auto"/>
        </w:rPr>
        <w:t xml:space="preserve">”), in each case other than (subject, for the avoidance of doubt, to the provisions of this Agreement) each party hereto or any of its respective assignees under this Agreement, whether by the enforcement of any assessment or by any legal or equitable proceeding, or by virtue of any applicable law, it being expressly agreed and acknowledged that no personal liability whatsoever shall attach to, be imposed on or otherwise be incurred by any of the Related Parties, as such, for any obligation or liability of any party hereto or any of its respective assignees under this Agreement or any documents or instruments delivered by any Person pursuant hereto for any claim based on, in respect of or by reason of such obligations or liabilities or their creation;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nothing in this </w:t>
      </w:r>
      <w:r>
        <w:rPr>
          <w:rFonts w:ascii="Arial" w:cs="Arial" w:eastAsia="Arial" w:hAnsi="Arial"/>
          <w:sz w:val="17"/>
          <w:szCs w:val="17"/>
          <w:u w:val="single" w:color="auto"/>
          <w:color w:val="auto"/>
        </w:rPr>
        <w:t>Section 4.15</w:t>
      </w:r>
      <w:r>
        <w:rPr>
          <w:rFonts w:ascii="Arial" w:cs="Arial" w:eastAsia="Arial" w:hAnsi="Arial"/>
          <w:sz w:val="17"/>
          <w:szCs w:val="17"/>
          <w:color w:val="auto"/>
        </w:rPr>
        <w:t xml:space="preserve"> shall relieve or otherwise limit the liability of any party hereto or any of its respective assignees for any breach or violation of its obligations under such agreements, documents or instruments.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86" w:name="page87"/>
    <w:bookmarkEnd w:id="86"/>
    <w:p>
      <w:pPr>
        <w:ind w:left="200"/>
        <w:spacing w:after="0"/>
        <w:rPr>
          <w:sz w:val="20"/>
          <w:szCs w:val="20"/>
          <w:color w:val="auto"/>
        </w:rPr>
      </w:pPr>
      <w:r>
        <w:rPr>
          <w:rFonts w:ascii="Arial" w:cs="Arial" w:eastAsia="Arial" w:hAnsi="Arial"/>
          <w:sz w:val="16"/>
          <w:szCs w:val="16"/>
          <w:color w:val="auto"/>
        </w:rPr>
        <w:t>IN WITNESS WHEREOF, the parties hereto have executed this Agreement on the day and year first above written.</w:t>
      </w:r>
    </w:p>
    <w:p>
      <w:pPr>
        <w:spacing w:after="0" w:line="298"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CORSAIR GAMING, INC.</w:t>
      </w:r>
    </w:p>
    <w:p>
      <w:pPr>
        <w:spacing w:after="0" w:line="256" w:lineRule="exact"/>
        <w:rPr>
          <w:sz w:val="20"/>
          <w:szCs w:val="20"/>
          <w:color w:val="auto"/>
        </w:rPr>
      </w:pPr>
    </w:p>
    <w:p>
      <w:pPr>
        <w:ind w:left="4500"/>
        <w:spacing w:after="0"/>
        <w:tabs>
          <w:tab w:leader="none" w:pos="6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J. Paul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14605</wp:posOffset>
            </wp:positionV>
            <wp:extent cx="31800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5">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30"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Name: Andrew J. Paul</w:t>
      </w:r>
    </w:p>
    <w:p>
      <w:pPr>
        <w:spacing w:after="0" w:line="36"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786130</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87" w:name="page88"/>
    <w:bookmarkEnd w:id="87"/>
    <w:p>
      <w:pPr>
        <w:ind w:left="5080"/>
        <w:spacing w:after="0"/>
        <w:rPr>
          <w:sz w:val="20"/>
          <w:szCs w:val="20"/>
          <w:color w:val="auto"/>
        </w:rPr>
      </w:pPr>
      <w:r>
        <w:rPr>
          <w:rFonts w:ascii="Arial" w:cs="Arial" w:eastAsia="Arial" w:hAnsi="Arial"/>
          <w:sz w:val="18"/>
          <w:szCs w:val="18"/>
          <w:b w:val="1"/>
          <w:bCs w:val="1"/>
          <w:color w:val="auto"/>
        </w:rPr>
        <w:t>CORSAIR GROUP (CAYMAN), LP</w:t>
      </w:r>
    </w:p>
    <w:p>
      <w:pPr>
        <w:spacing w:after="0" w:line="256" w:lineRule="exact"/>
        <w:rPr>
          <w:sz w:val="20"/>
          <w:szCs w:val="20"/>
          <w:color w:val="auto"/>
        </w:rPr>
      </w:pPr>
    </w:p>
    <w:tbl>
      <w:tblPr>
        <w:tblLayout w:type="fixed"/>
        <w:tblInd w:w="4300" w:type="dxa"/>
        <w:tblCellMar>
          <w:top w:w="0" w:type="dxa"/>
          <w:left w:w="0" w:type="dxa"/>
          <w:bottom w:w="0" w:type="dxa"/>
          <w:right w:w="0" w:type="dxa"/>
        </w:tblCellMar>
      </w:tblPr>
      <w:tr>
        <w:trPr>
          <w:trHeight w:val="216"/>
        </w:trPr>
        <w:tc>
          <w:tcPr>
            <w:tcW w:w="1460" w:type="dxa"/>
            <w:vAlign w:val="bottom"/>
            <w:gridSpan w:val="2"/>
          </w:tcPr>
          <w:p>
            <w:pPr>
              <w:ind w:left="780"/>
              <w:spacing w:after="0"/>
              <w:rPr>
                <w:sz w:val="20"/>
                <w:szCs w:val="20"/>
                <w:color w:val="auto"/>
              </w:rPr>
            </w:pPr>
            <w:r>
              <w:rPr>
                <w:rFonts w:ascii="Arial" w:cs="Arial" w:eastAsia="Arial" w:hAnsi="Arial"/>
                <w:sz w:val="18"/>
                <w:szCs w:val="18"/>
                <w:color w:val="auto"/>
              </w:rPr>
              <w:t>By:</w:t>
            </w:r>
          </w:p>
        </w:tc>
        <w:tc>
          <w:tcPr>
            <w:tcW w:w="4360" w:type="dxa"/>
            <w:vAlign w:val="bottom"/>
          </w:tcPr>
          <w:p>
            <w:pPr>
              <w:ind w:left="200"/>
              <w:spacing w:after="0"/>
              <w:rPr>
                <w:sz w:val="20"/>
                <w:szCs w:val="20"/>
                <w:color w:val="auto"/>
              </w:rPr>
            </w:pPr>
            <w:r>
              <w:rPr>
                <w:rFonts w:ascii="Arial" w:cs="Arial" w:eastAsia="Arial" w:hAnsi="Arial"/>
                <w:sz w:val="18"/>
                <w:szCs w:val="18"/>
                <w:color w:val="auto"/>
              </w:rPr>
              <w:t>EagleTree-Carbide (GP), LLC,</w:t>
            </w:r>
          </w:p>
        </w:tc>
      </w:tr>
      <w:tr>
        <w:trPr>
          <w:trHeight w:val="216"/>
        </w:trPr>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360" w:type="dxa"/>
            <w:vAlign w:val="bottom"/>
          </w:tcPr>
          <w:p>
            <w:pPr>
              <w:ind w:left="200"/>
              <w:spacing w:after="0"/>
              <w:rPr>
                <w:sz w:val="20"/>
                <w:szCs w:val="20"/>
                <w:color w:val="auto"/>
              </w:rPr>
            </w:pPr>
            <w:r>
              <w:rPr>
                <w:rFonts w:ascii="Arial" w:cs="Arial" w:eastAsia="Arial" w:hAnsi="Arial"/>
                <w:sz w:val="18"/>
                <w:szCs w:val="18"/>
                <w:color w:val="auto"/>
              </w:rPr>
              <w:t>its General Partner</w:t>
            </w:r>
          </w:p>
        </w:tc>
      </w:tr>
      <w:tr>
        <w:trPr>
          <w:trHeight w:val="216"/>
        </w:trPr>
        <w:tc>
          <w:tcPr>
            <w:tcW w:w="1460" w:type="dxa"/>
            <w:vAlign w:val="bottom"/>
            <w:gridSpan w:val="2"/>
          </w:tcPr>
          <w:p>
            <w:pPr>
              <w:ind w:left="780"/>
              <w:spacing w:after="0"/>
              <w:rPr>
                <w:sz w:val="20"/>
                <w:szCs w:val="20"/>
                <w:color w:val="auto"/>
              </w:rPr>
            </w:pPr>
            <w:r>
              <w:rPr>
                <w:rFonts w:ascii="Arial" w:cs="Arial" w:eastAsia="Arial" w:hAnsi="Arial"/>
                <w:sz w:val="18"/>
                <w:szCs w:val="18"/>
                <w:color w:val="auto"/>
              </w:rPr>
              <w:t>By:</w:t>
            </w:r>
          </w:p>
        </w:tc>
        <w:tc>
          <w:tcPr>
            <w:tcW w:w="4360" w:type="dxa"/>
            <w:vAlign w:val="bottom"/>
          </w:tcPr>
          <w:p>
            <w:pPr>
              <w:ind w:left="200"/>
              <w:spacing w:after="0"/>
              <w:rPr>
                <w:sz w:val="20"/>
                <w:szCs w:val="20"/>
                <w:color w:val="auto"/>
              </w:rPr>
            </w:pPr>
            <w:r>
              <w:rPr>
                <w:rFonts w:ascii="Arial" w:cs="Arial" w:eastAsia="Arial" w:hAnsi="Arial"/>
                <w:sz w:val="18"/>
                <w:szCs w:val="18"/>
                <w:color w:val="auto"/>
              </w:rPr>
              <w:t>EagleTree Partners IV (GP), LP,</w:t>
            </w:r>
          </w:p>
        </w:tc>
      </w:tr>
      <w:tr>
        <w:trPr>
          <w:trHeight w:val="216"/>
        </w:trPr>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360" w:type="dxa"/>
            <w:vAlign w:val="bottom"/>
          </w:tcPr>
          <w:p>
            <w:pPr>
              <w:ind w:left="200"/>
              <w:spacing w:after="0"/>
              <w:rPr>
                <w:sz w:val="20"/>
                <w:szCs w:val="20"/>
                <w:color w:val="auto"/>
              </w:rPr>
            </w:pPr>
            <w:r>
              <w:rPr>
                <w:rFonts w:ascii="Arial" w:cs="Arial" w:eastAsia="Arial" w:hAnsi="Arial"/>
                <w:sz w:val="18"/>
                <w:szCs w:val="18"/>
                <w:color w:val="auto"/>
              </w:rPr>
              <w:t>its Sole Member</w:t>
            </w:r>
          </w:p>
        </w:tc>
      </w:tr>
      <w:tr>
        <w:trPr>
          <w:trHeight w:val="216"/>
        </w:trPr>
        <w:tc>
          <w:tcPr>
            <w:tcW w:w="1460" w:type="dxa"/>
            <w:vAlign w:val="bottom"/>
            <w:gridSpan w:val="2"/>
          </w:tcPr>
          <w:p>
            <w:pPr>
              <w:ind w:left="780"/>
              <w:spacing w:after="0"/>
              <w:rPr>
                <w:sz w:val="20"/>
                <w:szCs w:val="20"/>
                <w:color w:val="auto"/>
              </w:rPr>
            </w:pPr>
            <w:r>
              <w:rPr>
                <w:rFonts w:ascii="Arial" w:cs="Arial" w:eastAsia="Arial" w:hAnsi="Arial"/>
                <w:sz w:val="18"/>
                <w:szCs w:val="18"/>
                <w:color w:val="auto"/>
              </w:rPr>
              <w:t>By:</w:t>
            </w:r>
          </w:p>
        </w:tc>
        <w:tc>
          <w:tcPr>
            <w:tcW w:w="4360" w:type="dxa"/>
            <w:vAlign w:val="bottom"/>
          </w:tcPr>
          <w:p>
            <w:pPr>
              <w:ind w:left="200"/>
              <w:spacing w:after="0"/>
              <w:rPr>
                <w:sz w:val="20"/>
                <w:szCs w:val="20"/>
                <w:color w:val="auto"/>
              </w:rPr>
            </w:pPr>
            <w:r>
              <w:rPr>
                <w:rFonts w:ascii="Arial" w:cs="Arial" w:eastAsia="Arial" w:hAnsi="Arial"/>
                <w:sz w:val="18"/>
                <w:szCs w:val="18"/>
                <w:color w:val="auto"/>
              </w:rPr>
              <w:t>EagleTree Partners IV Ultimate GP, LLC,</w:t>
            </w:r>
          </w:p>
        </w:tc>
      </w:tr>
      <w:tr>
        <w:trPr>
          <w:trHeight w:val="230"/>
        </w:trPr>
        <w:tc>
          <w:tcPr>
            <w:tcW w:w="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360" w:type="dxa"/>
            <w:vAlign w:val="bottom"/>
          </w:tcPr>
          <w:p>
            <w:pPr>
              <w:ind w:left="200"/>
              <w:spacing w:after="0"/>
              <w:rPr>
                <w:sz w:val="20"/>
                <w:szCs w:val="20"/>
                <w:color w:val="auto"/>
              </w:rPr>
            </w:pPr>
            <w:r>
              <w:rPr>
                <w:rFonts w:ascii="Arial" w:cs="Arial" w:eastAsia="Arial" w:hAnsi="Arial"/>
                <w:sz w:val="18"/>
                <w:szCs w:val="18"/>
                <w:color w:val="auto"/>
              </w:rPr>
              <w:t>its General Partner</w:t>
            </w:r>
          </w:p>
        </w:tc>
      </w:tr>
      <w:tr>
        <w:trPr>
          <w:trHeight w:val="459"/>
        </w:trPr>
        <w:tc>
          <w:tcPr>
            <w:tcW w:w="1460" w:type="dxa"/>
            <w:vAlign w:val="bottom"/>
            <w:gridSpan w:val="2"/>
          </w:tcPr>
          <w:p>
            <w:pPr>
              <w:ind w:left="200"/>
              <w:spacing w:after="0"/>
              <w:rPr>
                <w:sz w:val="20"/>
                <w:szCs w:val="20"/>
                <w:color w:val="auto"/>
              </w:rPr>
            </w:pPr>
            <w:r>
              <w:rPr>
                <w:rFonts w:ascii="Arial" w:cs="Arial" w:eastAsia="Arial" w:hAnsi="Arial"/>
                <w:sz w:val="18"/>
                <w:szCs w:val="18"/>
                <w:color w:val="auto"/>
              </w:rPr>
              <w:t>By:</w:t>
            </w:r>
          </w:p>
        </w:tc>
        <w:tc>
          <w:tcPr>
            <w:tcW w:w="4360" w:type="dxa"/>
            <w:vAlign w:val="bottom"/>
          </w:tcPr>
          <w:p>
            <w:pPr>
              <w:ind w:left="1200"/>
              <w:spacing w:after="0"/>
              <w:rPr>
                <w:sz w:val="20"/>
                <w:szCs w:val="20"/>
                <w:color w:val="auto"/>
              </w:rPr>
            </w:pPr>
            <w:r>
              <w:rPr>
                <w:rFonts w:ascii="Arial" w:cs="Arial" w:eastAsia="Arial" w:hAnsi="Arial"/>
                <w:sz w:val="18"/>
                <w:szCs w:val="18"/>
                <w:color w:val="auto"/>
              </w:rPr>
              <w:t>/s/ Anup Bargaria</w:t>
            </w:r>
          </w:p>
        </w:tc>
      </w:tr>
      <w:tr>
        <w:trPr>
          <w:trHeight w:val="195"/>
        </w:trPr>
        <w:tc>
          <w:tcPr>
            <w:tcW w:w="780" w:type="dxa"/>
            <w:vAlign w:val="bottom"/>
          </w:tcPr>
          <w:p>
            <w:pPr>
              <w:spacing w:after="0"/>
              <w:rPr>
                <w:sz w:val="16"/>
                <w:szCs w:val="16"/>
                <w:color w:val="auto"/>
              </w:rPr>
            </w:pPr>
          </w:p>
        </w:tc>
        <w:tc>
          <w:tcPr>
            <w:tcW w:w="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36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Anup Bargaria</w:t>
            </w:r>
          </w:p>
        </w:tc>
      </w:tr>
      <w:tr>
        <w:trPr>
          <w:trHeight w:val="230"/>
        </w:trPr>
        <w:tc>
          <w:tcPr>
            <w:tcW w:w="1460" w:type="dxa"/>
            <w:vAlign w:val="bottom"/>
            <w:gridSpan w:val="2"/>
          </w:tcPr>
          <w:p>
            <w:pPr>
              <w:ind w:left="780"/>
              <w:spacing w:after="0"/>
              <w:rPr>
                <w:sz w:val="20"/>
                <w:szCs w:val="20"/>
                <w:color w:val="auto"/>
              </w:rPr>
            </w:pPr>
            <w:r>
              <w:rPr>
                <w:rFonts w:ascii="Arial" w:cs="Arial" w:eastAsia="Arial" w:hAnsi="Arial"/>
                <w:sz w:val="18"/>
                <w:szCs w:val="18"/>
                <w:color w:val="auto"/>
              </w:rPr>
              <w:t>Title:</w:t>
            </w:r>
          </w:p>
        </w:tc>
        <w:tc>
          <w:tcPr>
            <w:tcW w:w="4360" w:type="dxa"/>
            <w:vAlign w:val="bottom"/>
          </w:tcPr>
          <w:p>
            <w:pPr>
              <w:ind w:left="200"/>
              <w:spacing w:after="0"/>
              <w:rPr>
                <w:sz w:val="20"/>
                <w:szCs w:val="20"/>
                <w:color w:val="auto"/>
              </w:rPr>
            </w:pPr>
            <w:r>
              <w:rPr>
                <w:rFonts w:ascii="Arial" w:cs="Arial" w:eastAsia="Arial" w:hAnsi="Arial"/>
                <w:sz w:val="18"/>
                <w:szCs w:val="18"/>
                <w:color w:val="auto"/>
              </w:rPr>
              <w:t>Co-Managing Member</w:t>
            </w:r>
          </w:p>
        </w:tc>
      </w:tr>
      <w:tr>
        <w:trPr>
          <w:trHeight w:val="459"/>
        </w:trPr>
        <w:tc>
          <w:tcPr>
            <w:tcW w:w="1460" w:type="dxa"/>
            <w:vAlign w:val="bottom"/>
            <w:gridSpan w:val="2"/>
          </w:tcPr>
          <w:p>
            <w:pPr>
              <w:ind w:left="200"/>
              <w:spacing w:after="0"/>
              <w:rPr>
                <w:sz w:val="20"/>
                <w:szCs w:val="20"/>
                <w:color w:val="auto"/>
              </w:rPr>
            </w:pPr>
            <w:r>
              <w:rPr>
                <w:rFonts w:ascii="Arial" w:cs="Arial" w:eastAsia="Arial" w:hAnsi="Arial"/>
                <w:sz w:val="18"/>
                <w:szCs w:val="18"/>
                <w:color w:val="auto"/>
              </w:rPr>
              <w:t>By:</w:t>
            </w:r>
          </w:p>
        </w:tc>
        <w:tc>
          <w:tcPr>
            <w:tcW w:w="4360" w:type="dxa"/>
            <w:vAlign w:val="bottom"/>
          </w:tcPr>
          <w:p>
            <w:pPr>
              <w:ind w:left="920"/>
              <w:spacing w:after="0"/>
              <w:rPr>
                <w:sz w:val="20"/>
                <w:szCs w:val="20"/>
                <w:color w:val="auto"/>
              </w:rPr>
            </w:pPr>
            <w:r>
              <w:rPr>
                <w:rFonts w:ascii="Arial" w:cs="Arial" w:eastAsia="Arial" w:hAnsi="Arial"/>
                <w:sz w:val="18"/>
                <w:szCs w:val="18"/>
                <w:color w:val="auto"/>
              </w:rPr>
              <w:t>/s/ George L. Majoros, Jr.</w:t>
            </w:r>
          </w:p>
        </w:tc>
      </w:tr>
      <w:tr>
        <w:trPr>
          <w:trHeight w:val="195"/>
        </w:trPr>
        <w:tc>
          <w:tcPr>
            <w:tcW w:w="780" w:type="dxa"/>
            <w:vAlign w:val="bottom"/>
          </w:tcPr>
          <w:p>
            <w:pPr>
              <w:spacing w:after="0"/>
              <w:rPr>
                <w:sz w:val="16"/>
                <w:szCs w:val="16"/>
                <w:color w:val="auto"/>
              </w:rPr>
            </w:pPr>
          </w:p>
        </w:tc>
        <w:tc>
          <w:tcPr>
            <w:tcW w:w="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36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George L. Majoros, Jr.</w:t>
            </w:r>
          </w:p>
        </w:tc>
      </w:tr>
      <w:tr>
        <w:trPr>
          <w:trHeight w:val="230"/>
        </w:trPr>
        <w:tc>
          <w:tcPr>
            <w:tcW w:w="1460" w:type="dxa"/>
            <w:vAlign w:val="bottom"/>
            <w:gridSpan w:val="2"/>
          </w:tcPr>
          <w:p>
            <w:pPr>
              <w:ind w:left="780"/>
              <w:spacing w:after="0"/>
              <w:rPr>
                <w:sz w:val="20"/>
                <w:szCs w:val="20"/>
                <w:color w:val="auto"/>
              </w:rPr>
            </w:pPr>
            <w:r>
              <w:rPr>
                <w:rFonts w:ascii="Arial" w:cs="Arial" w:eastAsia="Arial" w:hAnsi="Arial"/>
                <w:sz w:val="18"/>
                <w:szCs w:val="18"/>
                <w:color w:val="auto"/>
              </w:rPr>
              <w:t>Title:</w:t>
            </w:r>
          </w:p>
        </w:tc>
        <w:tc>
          <w:tcPr>
            <w:tcW w:w="4360" w:type="dxa"/>
            <w:vAlign w:val="bottom"/>
          </w:tcPr>
          <w:p>
            <w:pPr>
              <w:ind w:left="200"/>
              <w:spacing w:after="0"/>
              <w:rPr>
                <w:sz w:val="20"/>
                <w:szCs w:val="20"/>
                <w:color w:val="auto"/>
              </w:rPr>
            </w:pPr>
            <w:r>
              <w:rPr>
                <w:rFonts w:ascii="Arial" w:cs="Arial" w:eastAsia="Arial" w:hAnsi="Arial"/>
                <w:sz w:val="18"/>
                <w:szCs w:val="18"/>
                <w:color w:val="auto"/>
              </w:rPr>
              <w:t>Co-Managing Member</w:t>
            </w:r>
          </w:p>
        </w:tc>
      </w:tr>
      <w:tr>
        <w:trPr>
          <w:trHeight w:val="891"/>
        </w:trPr>
        <w:tc>
          <w:tcPr>
            <w:tcW w:w="780" w:type="dxa"/>
            <w:vAlign w:val="bottom"/>
          </w:tcPr>
          <w:p>
            <w:pPr>
              <w:jc w:val="right"/>
              <w:ind w:right="290"/>
              <w:spacing w:after="0"/>
              <w:rPr>
                <w:sz w:val="20"/>
                <w:szCs w:val="20"/>
                <w:color w:val="auto"/>
              </w:rPr>
            </w:pPr>
            <w:r>
              <w:rPr>
                <w:rFonts w:ascii="Arial" w:cs="Arial" w:eastAsia="Arial" w:hAnsi="Arial"/>
                <w:sz w:val="18"/>
                <w:szCs w:val="18"/>
                <w:color w:val="auto"/>
              </w:rPr>
              <w:t>-10-</w:t>
            </w:r>
          </w:p>
        </w:tc>
        <w:tc>
          <w:tcPr>
            <w:tcW w:w="680" w:type="dxa"/>
            <w:vAlign w:val="bottom"/>
          </w:tcPr>
          <w:p>
            <w:pPr>
              <w:spacing w:after="0"/>
              <w:rPr>
                <w:sz w:val="24"/>
                <w:szCs w:val="24"/>
                <w:color w:val="auto"/>
              </w:rPr>
            </w:pPr>
          </w:p>
        </w:tc>
        <w:tc>
          <w:tcPr>
            <w:tcW w:w="4360" w:type="dxa"/>
            <w:vAlign w:val="bottom"/>
          </w:tcPr>
          <w:p>
            <w:pPr>
              <w:spacing w:after="0"/>
              <w:rPr>
                <w:sz w:val="24"/>
                <w:szCs w:val="24"/>
                <w:color w:val="auto"/>
              </w:rPr>
            </w:pPr>
          </w:p>
        </w:tc>
      </w:tr>
    </w:tbl>
    <w:p>
      <w:pPr>
        <w:sectPr>
          <w:pgSz w:w="11900" w:h="16838" w:orient="portrait"/>
          <w:cols w:equalWidth="0" w:num="1">
            <w:col w:w="10120"/>
          </w:cols>
          <w:pgMar w:left="1440" w:top="553"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CORSAIR GAMING,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INCENTIVE AWARD PLAN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w:t>
      </w:r>
    </w:p>
    <w:p>
      <w:pPr>
        <w:spacing w:after="0" w:line="211" w:lineRule="exact"/>
        <w:rPr>
          <w:sz w:val="20"/>
          <w:szCs w:val="20"/>
          <w:color w:val="auto"/>
        </w:rPr>
      </w:pPr>
    </w:p>
    <w:p>
      <w:pPr>
        <w:ind w:right="480" w:firstLine="586"/>
        <w:spacing w:after="0" w:line="277" w:lineRule="auto"/>
        <w:rPr>
          <w:sz w:val="20"/>
          <w:szCs w:val="20"/>
          <w:color w:val="auto"/>
        </w:rPr>
      </w:pPr>
      <w:r>
        <w:rPr>
          <w:rFonts w:ascii="Arial" w:cs="Arial" w:eastAsia="Arial" w:hAnsi="Arial"/>
          <w:sz w:val="18"/>
          <w:szCs w:val="18"/>
          <w:color w:val="auto"/>
        </w:rPr>
        <w:t>The Plan’s purpose is to enhance the Company’s ability to attract, retain and motivate persons who make (or are expected to make) important contributions to the Company by providing these individuals with equity ownership opportunities.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As used in the Plan, the following words and phrases will have the meanings specified below, unless the context clearly indicates otherwise:</w:t>
      </w:r>
    </w:p>
    <w:p>
      <w:pPr>
        <w:spacing w:after="0" w:line="237" w:lineRule="exact"/>
        <w:rPr>
          <w:sz w:val="20"/>
          <w:szCs w:val="20"/>
          <w:color w:val="auto"/>
        </w:rPr>
      </w:pPr>
    </w:p>
    <w:p>
      <w:pPr>
        <w:jc w:val="both"/>
        <w:ind w:right="40" w:firstLine="586"/>
        <w:spacing w:after="0" w:line="286" w:lineRule="auto"/>
        <w:rPr>
          <w:sz w:val="20"/>
          <w:szCs w:val="20"/>
          <w:color w:val="auto"/>
        </w:rPr>
      </w:pPr>
      <w:r>
        <w:rPr>
          <w:rFonts w:ascii="Arial" w:cs="Arial" w:eastAsia="Arial" w:hAnsi="Arial"/>
          <w:sz w:val="17"/>
          <w:szCs w:val="17"/>
          <w:color w:val="auto"/>
        </w:rPr>
        <w:t>2.1 “</w:t>
      </w:r>
      <w:r>
        <w:rPr>
          <w:rFonts w:ascii="Arial" w:cs="Arial" w:eastAsia="Arial" w:hAnsi="Arial"/>
          <w:sz w:val="17"/>
          <w:szCs w:val="17"/>
          <w:b w:val="1"/>
          <w:bCs w:val="1"/>
          <w:i w:val="1"/>
          <w:iCs w:val="1"/>
          <w:color w:val="auto"/>
        </w:rPr>
        <w:t>Administrator</w:t>
      </w:r>
      <w:r>
        <w:rPr>
          <w:rFonts w:ascii="Arial" w:cs="Arial" w:eastAsia="Arial" w:hAnsi="Arial"/>
          <w:sz w:val="17"/>
          <w:szCs w:val="17"/>
          <w:color w:val="auto"/>
        </w:rPr>
        <w:t>” means the Board or a Committee to the extent that the Board’s powers or authority under the Plan have been delegated to such Committee. With reference to the Board’s or a Committee’s powers or authority under the Plan that have been delegated to one or more officers pursuant to Section 4.2, the term “Administrator” shall refer to such officer(s) unless and until such delegation has been revoked.</w:t>
      </w:r>
    </w:p>
    <w:p>
      <w:pPr>
        <w:spacing w:after="0" w:line="165" w:lineRule="exact"/>
        <w:rPr>
          <w:sz w:val="20"/>
          <w:szCs w:val="20"/>
          <w:color w:val="auto"/>
        </w:rPr>
      </w:pPr>
    </w:p>
    <w:p>
      <w:pPr>
        <w:ind w:right="40" w:firstLine="586"/>
        <w:spacing w:after="0" w:line="286" w:lineRule="auto"/>
        <w:rPr>
          <w:sz w:val="20"/>
          <w:szCs w:val="20"/>
          <w:color w:val="auto"/>
        </w:rPr>
      </w:pPr>
      <w:r>
        <w:rPr>
          <w:rFonts w:ascii="Arial" w:cs="Arial" w:eastAsia="Arial" w:hAnsi="Arial"/>
          <w:sz w:val="17"/>
          <w:szCs w:val="17"/>
          <w:color w:val="auto"/>
        </w:rPr>
        <w:t>2.2 “</w:t>
      </w:r>
      <w:r>
        <w:rPr>
          <w:rFonts w:ascii="Arial" w:cs="Arial" w:eastAsia="Arial" w:hAnsi="Arial"/>
          <w:sz w:val="17"/>
          <w:szCs w:val="17"/>
          <w:b w:val="1"/>
          <w:bCs w:val="1"/>
          <w:i w:val="1"/>
          <w:iCs w:val="1"/>
          <w:color w:val="auto"/>
        </w:rPr>
        <w:t>Applicable Law</w:t>
      </w:r>
      <w:r>
        <w:rPr>
          <w:rFonts w:ascii="Arial" w:cs="Arial" w:eastAsia="Arial" w:hAnsi="Arial"/>
          <w:sz w:val="17"/>
          <w:szCs w:val="17"/>
          <w:color w:val="auto"/>
        </w:rPr>
        <w:t>” means any applicable law, including without limitation: (a) provisions of the Code, the Securities Act, the Exchange Act and any rules or regulations thereunder; (b) corporate, securities, tax or other laws, statutes, rules, requirements or regulations, whether federal, state, local or foreign; and (c) rules of any securities exchange or automated quotation system on which the Shares are listed, quoted or traded.</w:t>
      </w:r>
    </w:p>
    <w:p>
      <w:pPr>
        <w:spacing w:after="0" w:line="165" w:lineRule="exact"/>
        <w:rPr>
          <w:sz w:val="20"/>
          <w:szCs w:val="20"/>
          <w:color w:val="auto"/>
        </w:rPr>
      </w:pPr>
    </w:p>
    <w:p>
      <w:pPr>
        <w:ind w:right="580" w:firstLine="586"/>
        <w:spacing w:after="0" w:line="342" w:lineRule="auto"/>
        <w:rPr>
          <w:sz w:val="20"/>
          <w:szCs w:val="20"/>
          <w:color w:val="auto"/>
        </w:rPr>
      </w:pPr>
      <w:r>
        <w:rPr>
          <w:rFonts w:ascii="Arial" w:cs="Arial" w:eastAsia="Arial" w:hAnsi="Arial"/>
          <w:sz w:val="16"/>
          <w:szCs w:val="16"/>
          <w:color w:val="auto"/>
        </w:rPr>
        <w:t>2.3 “</w:t>
      </w:r>
      <w:r>
        <w:rPr>
          <w:rFonts w:ascii="Arial" w:cs="Arial" w:eastAsia="Arial" w:hAnsi="Arial"/>
          <w:sz w:val="16"/>
          <w:szCs w:val="16"/>
          <w:b w:val="1"/>
          <w:bCs w:val="1"/>
          <w:i w:val="1"/>
          <w:iCs w:val="1"/>
          <w:color w:val="auto"/>
        </w:rPr>
        <w:t>Award</w:t>
      </w:r>
      <w:r>
        <w:rPr>
          <w:rFonts w:ascii="Arial" w:cs="Arial" w:eastAsia="Arial" w:hAnsi="Arial"/>
          <w:sz w:val="16"/>
          <w:szCs w:val="16"/>
          <w:color w:val="auto"/>
        </w:rPr>
        <w:t>” means an Option, Stock Appreciation Right, Restricted Stock award, Restricted Stock Unit award, Performance Bonus Award, Performance Stock Units award, Dividend Equivalents award or Other Stock or Cash Based Award granted to a Participant under the Plan.</w:t>
      </w:r>
    </w:p>
    <w:p>
      <w:pPr>
        <w:spacing w:after="0" w:line="124" w:lineRule="exact"/>
        <w:rPr>
          <w:sz w:val="20"/>
          <w:szCs w:val="20"/>
          <w:color w:val="auto"/>
        </w:rPr>
      </w:pPr>
    </w:p>
    <w:p>
      <w:pPr>
        <w:ind w:right="80" w:firstLine="586"/>
        <w:spacing w:after="0" w:line="277" w:lineRule="auto"/>
        <w:rPr>
          <w:sz w:val="20"/>
          <w:szCs w:val="20"/>
          <w:color w:val="auto"/>
        </w:rPr>
      </w:pPr>
      <w:r>
        <w:rPr>
          <w:rFonts w:ascii="Arial" w:cs="Arial" w:eastAsia="Arial" w:hAnsi="Arial"/>
          <w:sz w:val="18"/>
          <w:szCs w:val="18"/>
          <w:color w:val="auto"/>
        </w:rPr>
        <w:t>2.4 “</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means an agreement evidencing an Award, which may be written or electronic, that contains such terms and conditions as the Administrator determines, consistent with and subject to the terms and conditions of the Plan.</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2.5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2.6 “</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shall mean and includes each of the following:</w:t>
      </w:r>
    </w:p>
    <w:p>
      <w:pPr>
        <w:spacing w:after="0" w:line="225" w:lineRule="exact"/>
        <w:rPr>
          <w:sz w:val="20"/>
          <w:szCs w:val="20"/>
          <w:color w:val="auto"/>
        </w:rPr>
      </w:pPr>
    </w:p>
    <w:p>
      <w:pPr>
        <w:ind w:firstLine="1329"/>
        <w:spacing w:after="0" w:line="290" w:lineRule="auto"/>
        <w:tabs>
          <w:tab w:leader="none" w:pos="1565"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A transaction or series of transactions (other than an offering of Common Stock to the general public through a registration statement filed with the Securities and Exchange Commission) whereby any “person” or related “group” of “persons” (as such terms are used in Sections 13(d) and 14(d)(2) of the Exchange Act) directly or indirectly acquires beneficial ownership (within the meaning of Rules 13d-3 and 13d-5 under the Exchange Act) of securities of the Company possessing more than 50% of the total combined voting power of the Company’s securities outstanding immediately after such acquisition;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following acquisitions shall not constitute a Change in Control: (i) any acquisition by the Company or any of its Subsidiaries; (ii) any acquisition by an employee benefit plan maintained by the Company or any of its Subsidiaries, (iii) any acquisition which complies with Sections 2.6(c)(i), 2.6(c)(ii) and 2.6(c)(iii); or (iv) in respect of an Award held by a particular Participant, any acquisition by the Participant or any group of persons including the Participant (or any entity controlled by the Participant or any group of persons including the Participant); or</w:t>
      </w:r>
    </w:p>
    <w:p>
      <w:pPr>
        <w:spacing w:after="0" w:line="165" w:lineRule="exact"/>
        <w:rPr>
          <w:rFonts w:ascii="Arial" w:cs="Arial" w:eastAsia="Arial" w:hAnsi="Arial"/>
          <w:sz w:val="16"/>
          <w:szCs w:val="16"/>
          <w:color w:val="auto"/>
        </w:rPr>
      </w:pPr>
    </w:p>
    <w:p>
      <w:pPr>
        <w:ind w:left="1580" w:hanging="251"/>
        <w:spacing w:after="0"/>
        <w:tabs>
          <w:tab w:leader="none" w:pos="1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Incumbent Directors cease for any reason to constitute a majority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494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9" w:name="page90"/>
    <w:bookmarkEnd w:id="89"/>
    <w:p>
      <w:pPr>
        <w:ind w:right="80" w:firstLine="1329"/>
        <w:spacing w:after="0" w:line="259" w:lineRule="auto"/>
        <w:tabs>
          <w:tab w:leader="none" w:pos="156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consummation by the Company (whether directly involving the Company or indirectly involving the Company through one or more intermediaries) of (x) a merger, consolidation, reorganization, or business combination, (y) a sale or other disposition of all or substantially all of the Company’s assets in any single transaction or series of related transactions or (z) the acquisition of assets or stock of another entity, in each case other than a transaction:</w:t>
      </w:r>
    </w:p>
    <w:p>
      <w:pPr>
        <w:spacing w:after="0" w:line="186" w:lineRule="exact"/>
        <w:rPr>
          <w:rFonts w:ascii="Arial" w:cs="Arial" w:eastAsia="Arial" w:hAnsi="Arial"/>
          <w:sz w:val="18"/>
          <w:szCs w:val="18"/>
          <w:color w:val="auto"/>
        </w:rPr>
      </w:pPr>
    </w:p>
    <w:p>
      <w:pPr>
        <w:ind w:right="160" w:firstLine="1917"/>
        <w:spacing w:after="0" w:line="257" w:lineRule="auto"/>
        <w:tabs>
          <w:tab w:leader="none" w:pos="2124" w:val="left"/>
        </w:tabs>
        <w:numPr>
          <w:ilvl w:val="1"/>
          <w:numId w:val="41"/>
        </w:numPr>
        <w:rPr>
          <w:rFonts w:ascii="Arial" w:cs="Arial" w:eastAsia="Arial" w:hAnsi="Arial"/>
          <w:sz w:val="18"/>
          <w:szCs w:val="18"/>
          <w:color w:val="auto"/>
        </w:rPr>
      </w:pPr>
      <w:r>
        <w:rPr>
          <w:rFonts w:ascii="Arial" w:cs="Arial" w:eastAsia="Arial" w:hAnsi="Arial"/>
          <w:sz w:val="18"/>
          <w:szCs w:val="18"/>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Arial" w:cs="Arial" w:eastAsia="Arial" w:hAnsi="Arial"/>
          <w:sz w:val="18"/>
          <w:szCs w:val="18"/>
          <w:u w:val="single" w:color="auto"/>
          <w:color w:val="auto"/>
        </w:rPr>
        <w:t>Successor Entity</w:t>
      </w:r>
      <w:r>
        <w:rPr>
          <w:rFonts w:ascii="Arial" w:cs="Arial" w:eastAsia="Arial" w:hAnsi="Arial"/>
          <w:sz w:val="18"/>
          <w:szCs w:val="18"/>
          <w:color w:val="auto"/>
        </w:rPr>
        <w:t>”)) directly or indirectly, at least a majority of the combined voting power of the Successor Entity’s outstanding voting securities immediately after the transaction, and</w:t>
      </w:r>
    </w:p>
    <w:p>
      <w:pPr>
        <w:spacing w:after="0" w:line="187" w:lineRule="exact"/>
        <w:rPr>
          <w:rFonts w:ascii="Arial" w:cs="Arial" w:eastAsia="Arial" w:hAnsi="Arial"/>
          <w:sz w:val="18"/>
          <w:szCs w:val="18"/>
          <w:color w:val="auto"/>
        </w:rPr>
      </w:pPr>
    </w:p>
    <w:p>
      <w:pPr>
        <w:ind w:right="140" w:firstLine="1917"/>
        <w:spacing w:after="0" w:line="259" w:lineRule="auto"/>
        <w:tabs>
          <w:tab w:leader="none" w:pos="2174"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after which no person or group beneficially owns voting securities representing 50% or more of the combined voting power of the Successor Entity; </w:t>
      </w:r>
      <w:r>
        <w:rPr>
          <w:rFonts w:ascii="Arial" w:cs="Arial" w:eastAsia="Arial" w:hAnsi="Arial"/>
          <w:sz w:val="18"/>
          <w:szCs w:val="18"/>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person or group shall be treated for purposes of this Section 2.6(c)(ii) as beneficially owning 50% or more of the combined voting power of the Successor Entity solely as a result of the voting power held in the Company prior to the consummation of the transaction; and</w:t>
      </w:r>
    </w:p>
    <w:p>
      <w:pPr>
        <w:spacing w:after="0" w:line="186" w:lineRule="exact"/>
        <w:rPr>
          <w:rFonts w:ascii="Arial" w:cs="Arial" w:eastAsia="Arial" w:hAnsi="Arial"/>
          <w:sz w:val="18"/>
          <w:szCs w:val="18"/>
          <w:color w:val="auto"/>
        </w:rPr>
      </w:pPr>
    </w:p>
    <w:p>
      <w:pPr>
        <w:ind w:right="140" w:firstLine="1917"/>
        <w:spacing w:after="0" w:line="342" w:lineRule="auto"/>
        <w:tabs>
          <w:tab w:leader="none" w:pos="2224" w:val="left"/>
        </w:tabs>
        <w:numPr>
          <w:ilvl w:val="1"/>
          <w:numId w:val="41"/>
        </w:numPr>
        <w:rPr>
          <w:rFonts w:ascii="Arial" w:cs="Arial" w:eastAsia="Arial" w:hAnsi="Arial"/>
          <w:sz w:val="16"/>
          <w:szCs w:val="16"/>
          <w:color w:val="auto"/>
        </w:rPr>
      </w:pPr>
      <w:r>
        <w:rPr>
          <w:rFonts w:ascii="Arial" w:cs="Arial" w:eastAsia="Arial" w:hAnsi="Arial"/>
          <w:sz w:val="16"/>
          <w:szCs w:val="16"/>
          <w:color w:val="auto"/>
        </w:rPr>
        <w:t>after which at least a majority of the members of the board of directors (or the analogous governing body) of the Successor Entity were Board members at the time of the Board’s approval of the execution of the initial agreement providing for such transaction; or</w:t>
      </w:r>
    </w:p>
    <w:p>
      <w:pPr>
        <w:spacing w:after="0" w:line="123" w:lineRule="exact"/>
        <w:rPr>
          <w:rFonts w:ascii="Arial" w:cs="Arial" w:eastAsia="Arial" w:hAnsi="Arial"/>
          <w:sz w:val="16"/>
          <w:szCs w:val="16"/>
          <w:color w:val="auto"/>
        </w:rPr>
      </w:pPr>
    </w:p>
    <w:p>
      <w:pPr>
        <w:ind w:left="1580" w:hanging="251"/>
        <w:spacing w:after="0"/>
        <w:tabs>
          <w:tab w:leader="none" w:pos="1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completion of a liquidation or dissolution of the Company.</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Notwithstanding the foregoing, in no event shall the exercise by Corsair Group (Cayman) LP or any successor (“</w:t>
      </w:r>
      <w:r>
        <w:rPr>
          <w:rFonts w:ascii="Arial" w:cs="Arial" w:eastAsia="Arial" w:hAnsi="Arial"/>
          <w:sz w:val="17"/>
          <w:szCs w:val="17"/>
          <w:u w:val="single" w:color="auto"/>
          <w:color w:val="auto"/>
        </w:rPr>
        <w:t>Corsair LP</w:t>
      </w:r>
      <w:r>
        <w:rPr>
          <w:rFonts w:ascii="Arial" w:cs="Arial" w:eastAsia="Arial" w:hAnsi="Arial"/>
          <w:sz w:val="17"/>
          <w:szCs w:val="17"/>
          <w:color w:val="auto"/>
        </w:rPr>
        <w:t>”) of its right to nominate Directors pursuant to that certain Investor Rights Agreement by and between the Company and Corsair LP alone constitute a Change in Control (including as a result of a change in Incumbent Directors), nor will the appointment of new Directors following Corsair LP’s loss of such right to nominate Directors alone constitute a Change in Control (including as a result of a change in Incumbent Directors). Further, if a Change in Control constitutes a payment event with respect to any Award (or any portion of an Award) that provides for the deferral of compensation that is subject to Section 409A, to the extent required to avoid the imposition of additional taxes under Section 409A, the transaction or event described in subsection (a), (b), (c) or (d)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Administrator shall have full and final authority, which shall be exercised in its sole discretion, to determine conclusively whether a Change in Control has occurred pursuant to the above definition, the date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87" w:lineRule="exact"/>
        <w:rPr>
          <w:sz w:val="20"/>
          <w:szCs w:val="20"/>
          <w:color w:val="auto"/>
        </w:rPr>
      </w:pPr>
    </w:p>
    <w:p>
      <w:pPr>
        <w:ind w:right="920" w:firstLine="586"/>
        <w:spacing w:after="0" w:line="277" w:lineRule="auto"/>
        <w:rPr>
          <w:sz w:val="20"/>
          <w:szCs w:val="20"/>
          <w:color w:val="auto"/>
        </w:rPr>
      </w:pPr>
      <w:r>
        <w:rPr>
          <w:rFonts w:ascii="Arial" w:cs="Arial" w:eastAsia="Arial" w:hAnsi="Arial"/>
          <w:sz w:val="18"/>
          <w:szCs w:val="18"/>
          <w:color w:val="auto"/>
        </w:rPr>
        <w:t>2.7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U.S. Internal Revenue Code of 1986, as amended, and all regulations, guidance, compliance programs and other interpretative authority issued thereunder.</w:t>
      </w:r>
    </w:p>
    <w:p>
      <w:pPr>
        <w:spacing w:after="0" w:line="170" w:lineRule="exact"/>
        <w:rPr>
          <w:sz w:val="20"/>
          <w:szCs w:val="20"/>
          <w:color w:val="auto"/>
        </w:rPr>
      </w:pPr>
    </w:p>
    <w:p>
      <w:pPr>
        <w:ind w:right="20" w:firstLine="586"/>
        <w:spacing w:after="0" w:line="275" w:lineRule="auto"/>
        <w:rPr>
          <w:sz w:val="20"/>
          <w:szCs w:val="20"/>
          <w:color w:val="auto"/>
        </w:rPr>
      </w:pPr>
      <w:r>
        <w:rPr>
          <w:rFonts w:ascii="Arial" w:cs="Arial" w:eastAsia="Arial" w:hAnsi="Arial"/>
          <w:sz w:val="17"/>
          <w:szCs w:val="17"/>
          <w:color w:val="auto"/>
        </w:rPr>
        <w:t>2.8 “</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means one or more committees or subcommittees of the Board, which may include one or more Company directors or executive officers, to the extent permitted by Applicable Law. To the extent required to comply with the provisions of Rule 16b-3, it is intended that each member of the Committee will be, at the time the Committee takes any action with respect to an Award that is subject to Rule 16b-3, a “non-employee director” within the meaning of Rule 16b-3; however, a Committee member’s failure to qualify as a “non-employee director” within the meaning of Rule 16b-3 will not invalidate any Award granted by the Committee that is otherwise validly granted under the Plan.</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90" w:name="page91"/>
    <w:bookmarkEnd w:id="90"/>
    <w:p>
      <w:pPr>
        <w:ind w:left="600"/>
        <w:spacing w:after="0"/>
        <w:rPr>
          <w:sz w:val="20"/>
          <w:szCs w:val="20"/>
          <w:color w:val="auto"/>
        </w:rPr>
      </w:pPr>
      <w:r>
        <w:rPr>
          <w:rFonts w:ascii="Arial" w:cs="Arial" w:eastAsia="Arial" w:hAnsi="Arial"/>
          <w:sz w:val="18"/>
          <w:szCs w:val="18"/>
          <w:color w:val="auto"/>
        </w:rPr>
        <w:t>2.9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of the Company.</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2.10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Corsair Gaming, Inc., a Delaware corporation, or any successor.</w:t>
      </w:r>
    </w:p>
    <w:p>
      <w:pPr>
        <w:spacing w:after="0" w:line="225" w:lineRule="exact"/>
        <w:rPr>
          <w:sz w:val="20"/>
          <w:szCs w:val="20"/>
          <w:color w:val="auto"/>
        </w:rPr>
      </w:pPr>
    </w:p>
    <w:p>
      <w:pPr>
        <w:ind w:firstLine="586"/>
        <w:spacing w:after="0" w:line="311" w:lineRule="auto"/>
        <w:rPr>
          <w:sz w:val="20"/>
          <w:szCs w:val="20"/>
          <w:color w:val="auto"/>
        </w:rPr>
      </w:pPr>
      <w:r>
        <w:rPr>
          <w:rFonts w:ascii="Arial" w:cs="Arial" w:eastAsia="Arial" w:hAnsi="Arial"/>
          <w:sz w:val="16"/>
          <w:szCs w:val="16"/>
          <w:color w:val="auto"/>
        </w:rPr>
        <w:t>2.11 “</w:t>
      </w:r>
      <w:r>
        <w:rPr>
          <w:rFonts w:ascii="Arial" w:cs="Arial" w:eastAsia="Arial" w:hAnsi="Arial"/>
          <w:sz w:val="16"/>
          <w:szCs w:val="16"/>
          <w:b w:val="1"/>
          <w:bCs w:val="1"/>
          <w:i w:val="1"/>
          <w:iCs w:val="1"/>
          <w:color w:val="auto"/>
        </w:rPr>
        <w:t>Consultant</w:t>
      </w:r>
      <w:r>
        <w:rPr>
          <w:rFonts w:ascii="Arial" w:cs="Arial" w:eastAsia="Arial" w:hAnsi="Arial"/>
          <w:sz w:val="16"/>
          <w:szCs w:val="16"/>
          <w:color w:val="auto"/>
        </w:rPr>
        <w:t>” means any person, including any adviser, engaged by the Company or its parent or Subsidiary to render services to such entity if the consultant or adviser: (i) renders bona fide services to the Company; (ii) renders services not in connection with the offer or sale of securities in a capital-raising transaction and does not directly or indirectly promote or maintain a market for the Company’s securities; and (iii) is a natural person.</w:t>
      </w:r>
    </w:p>
    <w:p>
      <w:pPr>
        <w:spacing w:after="0" w:line="149" w:lineRule="exact"/>
        <w:rPr>
          <w:sz w:val="20"/>
          <w:szCs w:val="20"/>
          <w:color w:val="auto"/>
        </w:rPr>
      </w:pPr>
    </w:p>
    <w:p>
      <w:pPr>
        <w:ind w:right="120" w:firstLine="586"/>
        <w:spacing w:after="0" w:line="263" w:lineRule="auto"/>
        <w:rPr>
          <w:sz w:val="20"/>
          <w:szCs w:val="20"/>
          <w:color w:val="auto"/>
        </w:rPr>
      </w:pPr>
      <w:r>
        <w:rPr>
          <w:rFonts w:ascii="Arial" w:cs="Arial" w:eastAsia="Arial" w:hAnsi="Arial"/>
          <w:sz w:val="18"/>
          <w:szCs w:val="18"/>
          <w:color w:val="auto"/>
        </w:rPr>
        <w:t>2.12 “</w:t>
      </w:r>
      <w:r>
        <w:rPr>
          <w:rFonts w:ascii="Arial" w:cs="Arial" w:eastAsia="Arial" w:hAnsi="Arial"/>
          <w:sz w:val="18"/>
          <w:szCs w:val="18"/>
          <w:b w:val="1"/>
          <w:bCs w:val="1"/>
          <w:i w:val="1"/>
          <w:iCs w:val="1"/>
          <w:color w:val="auto"/>
        </w:rPr>
        <w:t>Designated Beneficiary</w:t>
      </w:r>
      <w:r>
        <w:rPr>
          <w:rFonts w:ascii="Arial" w:cs="Arial" w:eastAsia="Arial" w:hAnsi="Arial"/>
          <w:sz w:val="18"/>
          <w:szCs w:val="18"/>
          <w:color w:val="auto"/>
        </w:rPr>
        <w:t>” means the beneficiary or beneficiaries the Participant designates, in a manner the Company determines, to receive amounts due or exercise the Participant’s rights if the Participant dies. Without a Participant’s effective designation, “Designated Beneficiary” will mean the Participant’s estate.</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2.13 “</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Board member.</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2.14 “</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a permanent and total disability under Section 22(e)(3) of the Code.</w:t>
      </w:r>
    </w:p>
    <w:p>
      <w:pPr>
        <w:spacing w:after="0" w:line="225" w:lineRule="exact"/>
        <w:rPr>
          <w:sz w:val="20"/>
          <w:szCs w:val="20"/>
          <w:color w:val="auto"/>
        </w:rPr>
      </w:pPr>
    </w:p>
    <w:p>
      <w:pPr>
        <w:jc w:val="both"/>
        <w:ind w:right="500" w:firstLine="586"/>
        <w:spacing w:after="0" w:line="286" w:lineRule="auto"/>
        <w:rPr>
          <w:sz w:val="20"/>
          <w:szCs w:val="20"/>
          <w:color w:val="auto"/>
        </w:rPr>
      </w:pPr>
      <w:r>
        <w:rPr>
          <w:rFonts w:ascii="Arial" w:cs="Arial" w:eastAsia="Arial" w:hAnsi="Arial"/>
          <w:sz w:val="17"/>
          <w:szCs w:val="17"/>
          <w:color w:val="auto"/>
        </w:rPr>
        <w:t>2.15 “</w:t>
      </w:r>
      <w:r>
        <w:rPr>
          <w:rFonts w:ascii="Arial" w:cs="Arial" w:eastAsia="Arial" w:hAnsi="Arial"/>
          <w:sz w:val="17"/>
          <w:szCs w:val="17"/>
          <w:b w:val="1"/>
          <w:bCs w:val="1"/>
          <w:i w:val="1"/>
          <w:iCs w:val="1"/>
          <w:color w:val="auto"/>
        </w:rPr>
        <w:t>Dividend Equivalents</w:t>
      </w:r>
      <w:r>
        <w:rPr>
          <w:rFonts w:ascii="Arial" w:cs="Arial" w:eastAsia="Arial" w:hAnsi="Arial"/>
          <w:sz w:val="17"/>
          <w:szCs w:val="17"/>
          <w:color w:val="auto"/>
        </w:rPr>
        <w:t>” means a right granted to a Participant to receive the equivalent value (in cash or Shares) of dividends paid on a specified number of Shares. Such Dividend Equivalent shall be converted to cash or additional Shares, or a combination of cash and Shares, by such formula and at such time and subject to such limitations as may be determined by the Administrator.</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2.16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has the meaning set forth in Section 11.3.</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2.17 “</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employee of the Company or any of its Subsidiaries.</w:t>
      </w:r>
    </w:p>
    <w:p>
      <w:pPr>
        <w:spacing w:after="0" w:line="225" w:lineRule="exact"/>
        <w:rPr>
          <w:sz w:val="20"/>
          <w:szCs w:val="20"/>
          <w:color w:val="auto"/>
        </w:rPr>
      </w:pPr>
    </w:p>
    <w:p>
      <w:pPr>
        <w:ind w:right="60" w:firstLine="586"/>
        <w:spacing w:after="0" w:line="259" w:lineRule="auto"/>
        <w:rPr>
          <w:sz w:val="20"/>
          <w:szCs w:val="20"/>
          <w:color w:val="auto"/>
        </w:rPr>
      </w:pPr>
      <w:r>
        <w:rPr>
          <w:rFonts w:ascii="Arial" w:cs="Arial" w:eastAsia="Arial" w:hAnsi="Arial"/>
          <w:sz w:val="18"/>
          <w:szCs w:val="18"/>
          <w:color w:val="auto"/>
        </w:rPr>
        <w:t>2.18 “</w:t>
      </w:r>
      <w:r>
        <w:rPr>
          <w:rFonts w:ascii="Arial" w:cs="Arial" w:eastAsia="Arial" w:hAnsi="Arial"/>
          <w:sz w:val="18"/>
          <w:szCs w:val="18"/>
          <w:b w:val="1"/>
          <w:bCs w:val="1"/>
          <w:i w:val="1"/>
          <w:iCs w:val="1"/>
          <w:color w:val="auto"/>
        </w:rPr>
        <w:t>Equity Restructuring</w:t>
      </w:r>
      <w:r>
        <w:rPr>
          <w:rFonts w:ascii="Arial" w:cs="Arial" w:eastAsia="Arial" w:hAnsi="Arial"/>
          <w:sz w:val="18"/>
          <w:szCs w:val="18"/>
          <w:color w:val="auto"/>
        </w:rPr>
        <w:t>” means a nonreciprocal transaction between the Company and its stockholders, such as a stock dividend, stock split (including a reverse stock split), spin-off or recapitalization through a large, nonrecurring cash dividend, that affects the number or kind of Shares (or other Company securities) or the share price of Common Stock (or other Company securities) and causes a change in the per share value of the Common Stock underlying outstanding Awards.</w:t>
      </w:r>
    </w:p>
    <w:p>
      <w:pPr>
        <w:spacing w:after="0" w:line="187" w:lineRule="exact"/>
        <w:rPr>
          <w:sz w:val="20"/>
          <w:szCs w:val="20"/>
          <w:color w:val="auto"/>
        </w:rPr>
      </w:pPr>
    </w:p>
    <w:p>
      <w:pPr>
        <w:ind w:firstLine="586"/>
        <w:spacing w:after="0" w:line="277" w:lineRule="auto"/>
        <w:rPr>
          <w:sz w:val="20"/>
          <w:szCs w:val="20"/>
          <w:color w:val="auto"/>
        </w:rPr>
      </w:pPr>
      <w:r>
        <w:rPr>
          <w:rFonts w:ascii="Arial" w:cs="Arial" w:eastAsia="Arial" w:hAnsi="Arial"/>
          <w:sz w:val="18"/>
          <w:szCs w:val="18"/>
          <w:color w:val="auto"/>
        </w:rPr>
        <w:t>2.19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U.S. Securities Exchange Act of 1934, as amended, and all regulations, guidance and other interpretative authority issued thereunder.</w:t>
      </w:r>
    </w:p>
    <w:p>
      <w:pPr>
        <w:spacing w:after="0" w:line="170" w:lineRule="exact"/>
        <w:rPr>
          <w:sz w:val="20"/>
          <w:szCs w:val="20"/>
          <w:color w:val="auto"/>
        </w:rPr>
      </w:pPr>
    </w:p>
    <w:p>
      <w:pPr>
        <w:ind w:right="20" w:firstLine="586"/>
        <w:spacing w:after="0" w:line="288" w:lineRule="auto"/>
        <w:rPr>
          <w:sz w:val="20"/>
          <w:szCs w:val="20"/>
          <w:color w:val="auto"/>
        </w:rPr>
      </w:pPr>
      <w:r>
        <w:rPr>
          <w:rFonts w:ascii="Arial" w:cs="Arial" w:eastAsia="Arial" w:hAnsi="Arial"/>
          <w:sz w:val="16"/>
          <w:szCs w:val="16"/>
          <w:color w:val="auto"/>
        </w:rPr>
        <w:t>2.20 “</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xml:space="preserve">” means, as of any date, the value of a Share determined as follows: (i) if the Common Stock is listed on any established stock exchange, the value of a Share will be the closing sales price for a Share as quoted on such exchange for such date, or if no sale occurred on such date, the last day preceding such date during which a sale occurred,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or another source the Administrator deems reliable; (ii) if the Common Stock is not listed on an established stock exchange but is quoted on a national market or other quotation system, the value of a Share will be the closing sales price for a Share on such date, or if no sales occurred on such date, then on the last date preceding such date during which a sale occurred, as reported in The Wall Street Journal or another source the Administrator deems reliable; or (iii) if the Common Stock is not listed on any established stock exchange or quoted on a national market or other quotation system, the value established by the Administrator in its sole discretion. Notwithstanding the foregoing, with respect to any Award granted after the effectiveness of the Company’s registration statement relating to its initial public offering and prior to the Public Trading Date, the Fair Market Value shall mean the initial public offering price of a Share as set forth in the Company’s final prospectus relating to its initial public offering filed with the Securities and Exchange Commission.</w:t>
      </w:r>
    </w:p>
    <w:p>
      <w:pPr>
        <w:spacing w:after="0" w:line="168" w:lineRule="exact"/>
        <w:rPr>
          <w:sz w:val="20"/>
          <w:szCs w:val="20"/>
          <w:color w:val="auto"/>
        </w:rPr>
      </w:pPr>
    </w:p>
    <w:p>
      <w:pPr>
        <w:ind w:firstLine="586"/>
        <w:spacing w:after="0" w:line="263" w:lineRule="auto"/>
        <w:rPr>
          <w:sz w:val="20"/>
          <w:szCs w:val="20"/>
          <w:color w:val="auto"/>
        </w:rPr>
      </w:pPr>
      <w:r>
        <w:rPr>
          <w:rFonts w:ascii="Arial" w:cs="Arial" w:eastAsia="Arial" w:hAnsi="Arial"/>
          <w:sz w:val="18"/>
          <w:szCs w:val="18"/>
          <w:color w:val="auto"/>
        </w:rPr>
        <w:t>2.21 “</w:t>
      </w:r>
      <w:r>
        <w:rPr>
          <w:rFonts w:ascii="Arial" w:cs="Arial" w:eastAsia="Arial" w:hAnsi="Arial"/>
          <w:sz w:val="18"/>
          <w:szCs w:val="18"/>
          <w:b w:val="1"/>
          <w:bCs w:val="1"/>
          <w:i w:val="1"/>
          <w:iCs w:val="1"/>
          <w:color w:val="auto"/>
        </w:rPr>
        <w:t>Greater Than 10% Stockholder</w:t>
      </w:r>
      <w:r>
        <w:rPr>
          <w:rFonts w:ascii="Arial" w:cs="Arial" w:eastAsia="Arial" w:hAnsi="Arial"/>
          <w:sz w:val="18"/>
          <w:szCs w:val="18"/>
          <w:color w:val="auto"/>
        </w:rPr>
        <w:t>” means an individual then owning (within the meaning of Section 424(d) of the Code) more than 10% of the total combined voting power of all classes of stock of the Company or any parent corporation or subsidiary corporation of the Company, as determined in accordance with in Section 424(e) and (f) of the Code, respectively.</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91" w:name="page92"/>
    <w:bookmarkEnd w:id="91"/>
    <w:p>
      <w:pPr>
        <w:ind w:right="60" w:firstLine="586"/>
        <w:spacing w:after="0" w:line="277" w:lineRule="auto"/>
        <w:rPr>
          <w:sz w:val="20"/>
          <w:szCs w:val="20"/>
          <w:color w:val="auto"/>
        </w:rPr>
      </w:pPr>
      <w:r>
        <w:rPr>
          <w:rFonts w:ascii="Arial" w:cs="Arial" w:eastAsia="Arial" w:hAnsi="Arial"/>
          <w:sz w:val="18"/>
          <w:szCs w:val="18"/>
          <w:color w:val="auto"/>
        </w:rPr>
        <w:t>2.22 “</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 Option that meets the requirements to qualify as an “incentive stock option” as defined in Section 422 of the Code.</w:t>
      </w:r>
    </w:p>
    <w:p>
      <w:pPr>
        <w:spacing w:after="0" w:line="170" w:lineRule="exact"/>
        <w:rPr>
          <w:sz w:val="20"/>
          <w:szCs w:val="20"/>
          <w:color w:val="auto"/>
        </w:rPr>
      </w:pPr>
    </w:p>
    <w:p>
      <w:pPr>
        <w:ind w:right="20" w:firstLine="586"/>
        <w:spacing w:after="0" w:line="271" w:lineRule="auto"/>
        <w:rPr>
          <w:sz w:val="20"/>
          <w:szCs w:val="20"/>
          <w:color w:val="auto"/>
        </w:rPr>
      </w:pPr>
      <w:r>
        <w:rPr>
          <w:rFonts w:ascii="Arial" w:cs="Arial" w:eastAsia="Arial" w:hAnsi="Arial"/>
          <w:sz w:val="17"/>
          <w:szCs w:val="17"/>
          <w:color w:val="auto"/>
        </w:rPr>
        <w:t>2.23 “</w:t>
      </w:r>
      <w:r>
        <w:rPr>
          <w:rFonts w:ascii="Arial" w:cs="Arial" w:eastAsia="Arial" w:hAnsi="Arial"/>
          <w:sz w:val="17"/>
          <w:szCs w:val="17"/>
          <w:b w:val="1"/>
          <w:bCs w:val="1"/>
          <w:i w:val="1"/>
          <w:iCs w:val="1"/>
          <w:color w:val="auto"/>
        </w:rPr>
        <w:t>Incumbent Directors”</w:t>
      </w:r>
      <w:r>
        <w:rPr>
          <w:rFonts w:ascii="Arial" w:cs="Arial" w:eastAsia="Arial" w:hAnsi="Arial"/>
          <w:sz w:val="17"/>
          <w:szCs w:val="17"/>
          <w:color w:val="auto"/>
        </w:rPr>
        <w:t xml:space="preserve"> shall mean for any period of 12 consecutive months, individuals who, at the beginning of such period, constitute the Board together with any new Director(s) (other than a Director designated by a person who shall have entered into an agreement with the Company to effect a transaction described in Section 2.6(a) or 2.6(c)) whose election or nomination for election to the Board was approved by a vote of at least a majority (either by a specific vote or by approval of the proxy statement of the Company in which such person is named as a nominee for Director without objection to such nomination) of the Directors then still in office who either were Directors at the beginning of the 12-month period or whose election or nomination for election was previously so approved. No individual initially elected or nominated as a director of the Company as a result of an actual or threatened election contest with respect to Directors or as a result of any other actual or threatened solicitation of proxies by or on behalf of any person other than the Board shall be an Incumbent Director.</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2.24 “</w:t>
      </w:r>
      <w:r>
        <w:rPr>
          <w:rFonts w:ascii="Arial" w:cs="Arial" w:eastAsia="Arial" w:hAnsi="Arial"/>
          <w:sz w:val="18"/>
          <w:szCs w:val="18"/>
          <w:b w:val="1"/>
          <w:bCs w:val="1"/>
          <w:i w:val="1"/>
          <w:iCs w:val="1"/>
          <w:color w:val="auto"/>
        </w:rPr>
        <w:t>Nonqualified Stock Option</w:t>
      </w:r>
      <w:r>
        <w:rPr>
          <w:rFonts w:ascii="Arial" w:cs="Arial" w:eastAsia="Arial" w:hAnsi="Arial"/>
          <w:sz w:val="18"/>
          <w:szCs w:val="18"/>
          <w:color w:val="auto"/>
        </w:rPr>
        <w:t>” means an Option that is not an Incentive Stock Option.</w:t>
      </w:r>
    </w:p>
    <w:p>
      <w:pPr>
        <w:spacing w:after="0" w:line="225" w:lineRule="exact"/>
        <w:rPr>
          <w:sz w:val="20"/>
          <w:szCs w:val="20"/>
          <w:color w:val="auto"/>
        </w:rPr>
      </w:pPr>
    </w:p>
    <w:p>
      <w:pPr>
        <w:ind w:right="240" w:firstLine="586"/>
        <w:spacing w:after="0" w:line="277" w:lineRule="auto"/>
        <w:rPr>
          <w:sz w:val="20"/>
          <w:szCs w:val="20"/>
          <w:color w:val="auto"/>
        </w:rPr>
      </w:pPr>
      <w:r>
        <w:rPr>
          <w:rFonts w:ascii="Arial" w:cs="Arial" w:eastAsia="Arial" w:hAnsi="Arial"/>
          <w:sz w:val="18"/>
          <w:szCs w:val="18"/>
          <w:color w:val="auto"/>
        </w:rPr>
        <w:t>2.25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 right granted under Article VI to purchase a specified number of Shares at a specified price per Share during a specified time period. An Option may be either an Incentive Stock Option or a Nonqualified Stock Option.</w:t>
      </w:r>
    </w:p>
    <w:p>
      <w:pPr>
        <w:spacing w:after="0" w:line="170" w:lineRule="exact"/>
        <w:rPr>
          <w:sz w:val="20"/>
          <w:szCs w:val="20"/>
          <w:color w:val="auto"/>
        </w:rPr>
      </w:pPr>
    </w:p>
    <w:p>
      <w:pPr>
        <w:ind w:right="160" w:firstLine="586"/>
        <w:spacing w:after="0" w:line="277" w:lineRule="auto"/>
        <w:rPr>
          <w:sz w:val="20"/>
          <w:szCs w:val="20"/>
          <w:color w:val="auto"/>
        </w:rPr>
      </w:pPr>
      <w:r>
        <w:rPr>
          <w:rFonts w:ascii="Arial" w:cs="Arial" w:eastAsia="Arial" w:hAnsi="Arial"/>
          <w:sz w:val="18"/>
          <w:szCs w:val="18"/>
          <w:color w:val="auto"/>
        </w:rPr>
        <w:t>2.26 “</w:t>
      </w:r>
      <w:r>
        <w:rPr>
          <w:rFonts w:ascii="Arial" w:cs="Arial" w:eastAsia="Arial" w:hAnsi="Arial"/>
          <w:sz w:val="18"/>
          <w:szCs w:val="18"/>
          <w:b w:val="1"/>
          <w:bCs w:val="1"/>
          <w:i w:val="1"/>
          <w:iCs w:val="1"/>
          <w:color w:val="auto"/>
        </w:rPr>
        <w:t>Other Stock or Cash Based Awards</w:t>
      </w:r>
      <w:r>
        <w:rPr>
          <w:rFonts w:ascii="Arial" w:cs="Arial" w:eastAsia="Arial" w:hAnsi="Arial"/>
          <w:sz w:val="18"/>
          <w:szCs w:val="18"/>
          <w:color w:val="auto"/>
        </w:rPr>
        <w:t>” means cash awards, awards of Shares, and other awards valued wholly or partially by referring to, or are otherwise based on, Shares or other property.</w:t>
      </w:r>
    </w:p>
    <w:p>
      <w:pPr>
        <w:spacing w:after="0" w:line="170" w:lineRule="exact"/>
        <w:rPr>
          <w:sz w:val="20"/>
          <w:szCs w:val="20"/>
          <w:color w:val="auto"/>
        </w:rPr>
      </w:pPr>
    </w:p>
    <w:p>
      <w:pPr>
        <w:ind w:firstLine="586"/>
        <w:spacing w:after="0" w:line="259" w:lineRule="auto"/>
        <w:rPr>
          <w:sz w:val="20"/>
          <w:szCs w:val="20"/>
          <w:color w:val="auto"/>
        </w:rPr>
      </w:pPr>
      <w:r>
        <w:rPr>
          <w:rFonts w:ascii="Arial" w:cs="Arial" w:eastAsia="Arial" w:hAnsi="Arial"/>
          <w:sz w:val="18"/>
          <w:szCs w:val="18"/>
          <w:color w:val="auto"/>
        </w:rPr>
        <w:t>2.27 “</w:t>
      </w:r>
      <w:r>
        <w:rPr>
          <w:rFonts w:ascii="Arial" w:cs="Arial" w:eastAsia="Arial" w:hAnsi="Arial"/>
          <w:sz w:val="18"/>
          <w:szCs w:val="18"/>
          <w:b w:val="1"/>
          <w:bCs w:val="1"/>
          <w:i w:val="1"/>
          <w:iCs w:val="1"/>
          <w:color w:val="auto"/>
        </w:rPr>
        <w:t>Overall Share Limit</w:t>
      </w:r>
      <w:r>
        <w:rPr>
          <w:rFonts w:ascii="Arial" w:cs="Arial" w:eastAsia="Arial" w:hAnsi="Arial"/>
          <w:sz w:val="18"/>
          <w:szCs w:val="18"/>
          <w:color w:val="auto"/>
        </w:rPr>
        <w:t>” means the sum of (i) 5,125,000 Shares; (ii) any Shares that are subject to Prior Plan Awards that become available for issuance under the Plan pursuant to Article V; and (iii) an annual increase on the first day of each year beginning in 2021 and ending in 2030, equal to the lesser of (A) 4% of the Shares outstanding (on an as-converted basis) on the last day of the immediately preceding fiscal year and (B) such smaller number of Shares as determined by the Board.</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2.28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 Service Provider who has been granted an Award.</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2.29 “</w:t>
      </w:r>
      <w:r>
        <w:rPr>
          <w:rFonts w:ascii="Arial" w:cs="Arial" w:eastAsia="Arial" w:hAnsi="Arial"/>
          <w:sz w:val="18"/>
          <w:szCs w:val="18"/>
          <w:b w:val="1"/>
          <w:bCs w:val="1"/>
          <w:i w:val="1"/>
          <w:iCs w:val="1"/>
          <w:color w:val="auto"/>
        </w:rPr>
        <w:t>Performance Bonus Award</w:t>
      </w:r>
      <w:r>
        <w:rPr>
          <w:rFonts w:ascii="Arial" w:cs="Arial" w:eastAsia="Arial" w:hAnsi="Arial"/>
          <w:sz w:val="18"/>
          <w:szCs w:val="18"/>
          <w:color w:val="auto"/>
        </w:rPr>
        <w:t>” has the meaning set forth in Section 8.3.</w:t>
      </w:r>
    </w:p>
    <w:p>
      <w:pPr>
        <w:spacing w:after="0" w:line="225" w:lineRule="exact"/>
        <w:rPr>
          <w:sz w:val="20"/>
          <w:szCs w:val="20"/>
          <w:color w:val="auto"/>
        </w:rPr>
      </w:pPr>
    </w:p>
    <w:p>
      <w:pPr>
        <w:ind w:right="280" w:firstLine="586"/>
        <w:spacing w:after="0" w:line="342" w:lineRule="auto"/>
        <w:rPr>
          <w:sz w:val="20"/>
          <w:szCs w:val="20"/>
          <w:color w:val="auto"/>
        </w:rPr>
      </w:pPr>
      <w:r>
        <w:rPr>
          <w:rFonts w:ascii="Arial" w:cs="Arial" w:eastAsia="Arial" w:hAnsi="Arial"/>
          <w:sz w:val="16"/>
          <w:szCs w:val="16"/>
          <w:color w:val="auto"/>
        </w:rPr>
        <w:t>2.30 “</w:t>
      </w:r>
      <w:r>
        <w:rPr>
          <w:rFonts w:ascii="Arial" w:cs="Arial" w:eastAsia="Arial" w:hAnsi="Arial"/>
          <w:sz w:val="16"/>
          <w:szCs w:val="16"/>
          <w:b w:val="1"/>
          <w:bCs w:val="1"/>
          <w:i w:val="1"/>
          <w:iCs w:val="1"/>
          <w:color w:val="auto"/>
        </w:rPr>
        <w:t>Performance Stock Unit</w:t>
      </w:r>
      <w:r>
        <w:rPr>
          <w:rFonts w:ascii="Arial" w:cs="Arial" w:eastAsia="Arial" w:hAnsi="Arial"/>
          <w:sz w:val="16"/>
          <w:szCs w:val="16"/>
          <w:color w:val="auto"/>
        </w:rPr>
        <w:t>” means a right granted to a Participant pursuant to Section 8.1 and subject to Section 8.2, to receive Shares, the payment of which is contingent upon achieving certain performance goals or other performance-based targets established by the Administrator.</w:t>
      </w:r>
    </w:p>
    <w:p>
      <w:pPr>
        <w:spacing w:after="0" w:line="124" w:lineRule="exact"/>
        <w:rPr>
          <w:sz w:val="20"/>
          <w:szCs w:val="20"/>
          <w:color w:val="auto"/>
        </w:rPr>
      </w:pPr>
    </w:p>
    <w:p>
      <w:pPr>
        <w:ind w:right="100" w:firstLine="586"/>
        <w:spacing w:after="0" w:line="263" w:lineRule="auto"/>
        <w:rPr>
          <w:sz w:val="20"/>
          <w:szCs w:val="20"/>
          <w:color w:val="auto"/>
        </w:rPr>
      </w:pPr>
      <w:r>
        <w:rPr>
          <w:rFonts w:ascii="Arial" w:cs="Arial" w:eastAsia="Arial" w:hAnsi="Arial"/>
          <w:sz w:val="18"/>
          <w:szCs w:val="18"/>
          <w:color w:val="auto"/>
        </w:rPr>
        <w:t>2.31 “</w:t>
      </w:r>
      <w:r>
        <w:rPr>
          <w:rFonts w:ascii="Arial" w:cs="Arial" w:eastAsia="Arial" w:hAnsi="Arial"/>
          <w:sz w:val="18"/>
          <w:szCs w:val="18"/>
          <w:b w:val="1"/>
          <w:bCs w:val="1"/>
          <w:i w:val="1"/>
          <w:iCs w:val="1"/>
          <w:color w:val="auto"/>
        </w:rPr>
        <w:t>Permitted Transferee</w:t>
      </w:r>
      <w:r>
        <w:rPr>
          <w:rFonts w:ascii="Arial" w:cs="Arial" w:eastAsia="Arial" w:hAnsi="Arial"/>
          <w:sz w:val="18"/>
          <w:szCs w:val="18"/>
          <w:color w:val="auto"/>
        </w:rPr>
        <w:t>” shall mean, with respect to a Participant, any “family member” of the Participant, as defined in the General Instructions to Form S-8 Registration Statement under the Securities Act (or any successor form thereto), or any other transferee specifically approved by the Administrator after taking into account Applicable Law.</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2.32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2020 Incentive Award Plan.</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2.33 “</w:t>
      </w:r>
      <w:r>
        <w:rPr>
          <w:rFonts w:ascii="Arial" w:cs="Arial" w:eastAsia="Arial" w:hAnsi="Arial"/>
          <w:sz w:val="18"/>
          <w:szCs w:val="18"/>
          <w:b w:val="1"/>
          <w:bCs w:val="1"/>
          <w:i w:val="1"/>
          <w:iCs w:val="1"/>
          <w:color w:val="auto"/>
        </w:rPr>
        <w:t>Prior Plan</w:t>
      </w:r>
      <w:r>
        <w:rPr>
          <w:rFonts w:ascii="Arial" w:cs="Arial" w:eastAsia="Arial" w:hAnsi="Arial"/>
          <w:sz w:val="18"/>
          <w:szCs w:val="18"/>
          <w:color w:val="auto"/>
        </w:rPr>
        <w:t>” means the Eagletree-Carbide Holdings (Cayman), LP. Equity Incentive Program, as amended from time to time.</w:t>
      </w:r>
    </w:p>
    <w:p>
      <w:pPr>
        <w:spacing w:after="0" w:line="225" w:lineRule="exact"/>
        <w:rPr>
          <w:sz w:val="20"/>
          <w:szCs w:val="20"/>
          <w:color w:val="auto"/>
        </w:rPr>
      </w:pPr>
    </w:p>
    <w:p>
      <w:pPr>
        <w:ind w:right="740" w:firstLine="586"/>
        <w:spacing w:after="0" w:line="277" w:lineRule="auto"/>
        <w:rPr>
          <w:sz w:val="20"/>
          <w:szCs w:val="20"/>
          <w:color w:val="auto"/>
        </w:rPr>
      </w:pPr>
      <w:r>
        <w:rPr>
          <w:rFonts w:ascii="Arial" w:cs="Arial" w:eastAsia="Arial" w:hAnsi="Arial"/>
          <w:sz w:val="18"/>
          <w:szCs w:val="18"/>
          <w:color w:val="auto"/>
        </w:rPr>
        <w:t>2.34 “</w:t>
      </w:r>
      <w:r>
        <w:rPr>
          <w:rFonts w:ascii="Arial" w:cs="Arial" w:eastAsia="Arial" w:hAnsi="Arial"/>
          <w:sz w:val="18"/>
          <w:szCs w:val="18"/>
          <w:b w:val="1"/>
          <w:bCs w:val="1"/>
          <w:i w:val="1"/>
          <w:iCs w:val="1"/>
          <w:color w:val="auto"/>
        </w:rPr>
        <w:t>Prior Plan Award</w:t>
      </w:r>
      <w:r>
        <w:rPr>
          <w:rFonts w:ascii="Arial" w:cs="Arial" w:eastAsia="Arial" w:hAnsi="Arial"/>
          <w:sz w:val="18"/>
          <w:szCs w:val="18"/>
          <w:color w:val="auto"/>
        </w:rPr>
        <w:t>” means any award, including any option, granted under the Prior Plan that was assumed by the Company and is outstanding as of the Effective Date.</w:t>
      </w:r>
    </w:p>
    <w:p>
      <w:pPr>
        <w:spacing w:after="0" w:line="170" w:lineRule="exact"/>
        <w:rPr>
          <w:sz w:val="20"/>
          <w:szCs w:val="20"/>
          <w:color w:val="auto"/>
        </w:rPr>
      </w:pPr>
    </w:p>
    <w:p>
      <w:pPr>
        <w:ind w:right="60" w:firstLine="586"/>
        <w:spacing w:after="0" w:line="342" w:lineRule="auto"/>
        <w:rPr>
          <w:sz w:val="20"/>
          <w:szCs w:val="20"/>
          <w:color w:val="auto"/>
        </w:rPr>
      </w:pPr>
      <w:r>
        <w:rPr>
          <w:rFonts w:ascii="Arial" w:cs="Arial" w:eastAsia="Arial" w:hAnsi="Arial"/>
          <w:sz w:val="16"/>
          <w:szCs w:val="16"/>
          <w:color w:val="auto"/>
        </w:rPr>
        <w:t>2.35 “</w:t>
      </w:r>
      <w:r>
        <w:rPr>
          <w:rFonts w:ascii="Arial" w:cs="Arial" w:eastAsia="Arial" w:hAnsi="Arial"/>
          <w:sz w:val="16"/>
          <w:szCs w:val="16"/>
          <w:b w:val="1"/>
          <w:bCs w:val="1"/>
          <w:i w:val="1"/>
          <w:iCs w:val="1"/>
          <w:color w:val="auto"/>
        </w:rPr>
        <w:t>Public Trading Date</w:t>
      </w:r>
      <w:r>
        <w:rPr>
          <w:rFonts w:ascii="Arial" w:cs="Arial" w:eastAsia="Arial" w:hAnsi="Arial"/>
          <w:sz w:val="16"/>
          <w:szCs w:val="16"/>
          <w:color w:val="auto"/>
        </w:rPr>
        <w:t>” shall mean the first date upon which Common Stock is listed (or approved for listing) upon notice of issuance on any securities exchange or designated (or approved for designation) upon notice of issuance as a national market security on an interdealer quotation system.</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92" w:name="page93"/>
    <w:bookmarkEnd w:id="92"/>
    <w:p>
      <w:pPr>
        <w:ind w:left="600"/>
        <w:spacing w:after="0"/>
        <w:rPr>
          <w:sz w:val="20"/>
          <w:szCs w:val="20"/>
          <w:color w:val="auto"/>
        </w:rPr>
      </w:pPr>
      <w:r>
        <w:rPr>
          <w:rFonts w:ascii="Arial" w:cs="Arial" w:eastAsia="Arial" w:hAnsi="Arial"/>
          <w:sz w:val="17"/>
          <w:szCs w:val="17"/>
          <w:color w:val="auto"/>
        </w:rPr>
        <w:t>2.36 “</w:t>
      </w:r>
      <w:r>
        <w:rPr>
          <w:rFonts w:ascii="Arial" w:cs="Arial" w:eastAsia="Arial" w:hAnsi="Arial"/>
          <w:sz w:val="17"/>
          <w:szCs w:val="17"/>
          <w:b w:val="1"/>
          <w:bCs w:val="1"/>
          <w:i w:val="1"/>
          <w:iCs w:val="1"/>
          <w:color w:val="auto"/>
        </w:rPr>
        <w:t>Restricted Stock</w:t>
      </w:r>
      <w:r>
        <w:rPr>
          <w:rFonts w:ascii="Arial" w:cs="Arial" w:eastAsia="Arial" w:hAnsi="Arial"/>
          <w:sz w:val="17"/>
          <w:szCs w:val="17"/>
          <w:color w:val="auto"/>
        </w:rPr>
        <w:t>” means Shares awarded to a Participant under Article VII, subject to certain vesting conditions and other restrictions.</w:t>
      </w:r>
    </w:p>
    <w:p>
      <w:pPr>
        <w:spacing w:after="0" w:line="237" w:lineRule="exact"/>
        <w:rPr>
          <w:sz w:val="20"/>
          <w:szCs w:val="20"/>
          <w:color w:val="auto"/>
        </w:rPr>
      </w:pPr>
    </w:p>
    <w:p>
      <w:pPr>
        <w:ind w:right="160" w:firstLine="586"/>
        <w:spacing w:after="0" w:line="263" w:lineRule="auto"/>
        <w:rPr>
          <w:sz w:val="20"/>
          <w:szCs w:val="20"/>
          <w:color w:val="auto"/>
        </w:rPr>
      </w:pPr>
      <w:r>
        <w:rPr>
          <w:rFonts w:ascii="Arial" w:cs="Arial" w:eastAsia="Arial" w:hAnsi="Arial"/>
          <w:sz w:val="18"/>
          <w:szCs w:val="18"/>
          <w:color w:val="auto"/>
        </w:rPr>
        <w:t>2.37 “</w:t>
      </w:r>
      <w:r>
        <w:rPr>
          <w:rFonts w:ascii="Arial" w:cs="Arial" w:eastAsia="Arial" w:hAnsi="Arial"/>
          <w:sz w:val="18"/>
          <w:szCs w:val="18"/>
          <w:b w:val="1"/>
          <w:bCs w:val="1"/>
          <w:i w:val="1"/>
          <w:iCs w:val="1"/>
          <w:color w:val="auto"/>
        </w:rPr>
        <w:t>Restricted Stock Unit</w:t>
      </w:r>
      <w:r>
        <w:rPr>
          <w:rFonts w:ascii="Arial" w:cs="Arial" w:eastAsia="Arial" w:hAnsi="Arial"/>
          <w:sz w:val="18"/>
          <w:szCs w:val="18"/>
          <w:color w:val="auto"/>
        </w:rPr>
        <w:t>” means an unfunded, unsecured right to receive, on the applicable settlement date, one Share or an amount in cash or other consideration determined by the Administrator to be of equal value as of such settlement date, subject to certain vesting conditions and other restrictions.</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2.38 “</w:t>
      </w:r>
      <w:r>
        <w:rPr>
          <w:rFonts w:ascii="Arial" w:cs="Arial" w:eastAsia="Arial" w:hAnsi="Arial"/>
          <w:sz w:val="18"/>
          <w:szCs w:val="18"/>
          <w:b w:val="1"/>
          <w:bCs w:val="1"/>
          <w:i w:val="1"/>
          <w:iCs w:val="1"/>
          <w:color w:val="auto"/>
        </w:rPr>
        <w:t>Rule 16b-3</w:t>
      </w:r>
      <w:r>
        <w:rPr>
          <w:rFonts w:ascii="Arial" w:cs="Arial" w:eastAsia="Arial" w:hAnsi="Arial"/>
          <w:sz w:val="18"/>
          <w:szCs w:val="18"/>
          <w:color w:val="auto"/>
        </w:rPr>
        <w:t>” means Rule 16b-3 promulgated under the Exchange Act.</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2.39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means Section 409A of the Code.</w:t>
      </w:r>
    </w:p>
    <w:p>
      <w:pPr>
        <w:spacing w:after="0" w:line="225" w:lineRule="exact"/>
        <w:rPr>
          <w:sz w:val="20"/>
          <w:szCs w:val="20"/>
          <w:color w:val="auto"/>
        </w:rPr>
      </w:pPr>
    </w:p>
    <w:p>
      <w:pPr>
        <w:ind w:right="660" w:firstLine="586"/>
        <w:spacing w:after="0" w:line="277" w:lineRule="auto"/>
        <w:rPr>
          <w:sz w:val="20"/>
          <w:szCs w:val="20"/>
          <w:color w:val="auto"/>
        </w:rPr>
      </w:pPr>
      <w:r>
        <w:rPr>
          <w:rFonts w:ascii="Arial" w:cs="Arial" w:eastAsia="Arial" w:hAnsi="Arial"/>
          <w:sz w:val="18"/>
          <w:szCs w:val="18"/>
          <w:color w:val="auto"/>
        </w:rPr>
        <w:t>2.40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 and all regulations, guidance and other interpretative authority issued thereunder.</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2.41 “</w:t>
      </w:r>
      <w:r>
        <w:rPr>
          <w:rFonts w:ascii="Arial" w:cs="Arial" w:eastAsia="Arial" w:hAnsi="Arial"/>
          <w:sz w:val="18"/>
          <w:szCs w:val="18"/>
          <w:b w:val="1"/>
          <w:bCs w:val="1"/>
          <w:i w:val="1"/>
          <w:iCs w:val="1"/>
          <w:color w:val="auto"/>
        </w:rPr>
        <w:t>Service Provider</w:t>
      </w:r>
      <w:r>
        <w:rPr>
          <w:rFonts w:ascii="Arial" w:cs="Arial" w:eastAsia="Arial" w:hAnsi="Arial"/>
          <w:sz w:val="18"/>
          <w:szCs w:val="18"/>
          <w:color w:val="auto"/>
        </w:rPr>
        <w:t>” means an Employee, Consultant or Director.</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2.42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means shares of Common Stock.</w:t>
      </w:r>
    </w:p>
    <w:p>
      <w:pPr>
        <w:spacing w:after="0" w:line="225" w:lineRule="exact"/>
        <w:rPr>
          <w:sz w:val="20"/>
          <w:szCs w:val="20"/>
          <w:color w:val="auto"/>
        </w:rPr>
      </w:pPr>
    </w:p>
    <w:p>
      <w:pPr>
        <w:ind w:right="380" w:firstLine="586"/>
        <w:spacing w:after="0" w:line="342" w:lineRule="auto"/>
        <w:rPr>
          <w:sz w:val="20"/>
          <w:szCs w:val="20"/>
          <w:color w:val="auto"/>
        </w:rPr>
      </w:pPr>
      <w:r>
        <w:rPr>
          <w:rFonts w:ascii="Arial" w:cs="Arial" w:eastAsia="Arial" w:hAnsi="Arial"/>
          <w:sz w:val="16"/>
          <w:szCs w:val="16"/>
          <w:color w:val="auto"/>
        </w:rPr>
        <w:t>2.43 “</w:t>
      </w:r>
      <w:r>
        <w:rPr>
          <w:rFonts w:ascii="Arial" w:cs="Arial" w:eastAsia="Arial" w:hAnsi="Arial"/>
          <w:sz w:val="16"/>
          <w:szCs w:val="16"/>
          <w:b w:val="1"/>
          <w:bCs w:val="1"/>
          <w:i w:val="1"/>
          <w:iCs w:val="1"/>
          <w:color w:val="auto"/>
        </w:rPr>
        <w:t>Stock Appreciation Right</w:t>
      </w:r>
      <w:r>
        <w:rPr>
          <w:rFonts w:ascii="Arial" w:cs="Arial" w:eastAsia="Arial" w:hAnsi="Arial"/>
          <w:sz w:val="16"/>
          <w:szCs w:val="16"/>
          <w:color w:val="auto"/>
        </w:rPr>
        <w:t>” or “</w:t>
      </w:r>
      <w:r>
        <w:rPr>
          <w:rFonts w:ascii="Arial" w:cs="Arial" w:eastAsia="Arial" w:hAnsi="Arial"/>
          <w:sz w:val="16"/>
          <w:szCs w:val="16"/>
          <w:b w:val="1"/>
          <w:bCs w:val="1"/>
          <w:i w:val="1"/>
          <w:iCs w:val="1"/>
          <w:color w:val="auto"/>
        </w:rPr>
        <w:t>SAR</w:t>
      </w:r>
      <w:r>
        <w:rPr>
          <w:rFonts w:ascii="Arial" w:cs="Arial" w:eastAsia="Arial" w:hAnsi="Arial"/>
          <w:sz w:val="16"/>
          <w:szCs w:val="16"/>
          <w:color w:val="auto"/>
        </w:rPr>
        <w:t>” means a right granted under Article VI to receive a payment equal to the excess of the Fair Market Value of a specified number of Shares on the date the right is exercised over the exercise price set forth in the applicable Award Agreement.</w:t>
      </w:r>
    </w:p>
    <w:p>
      <w:pPr>
        <w:spacing w:after="0" w:line="124" w:lineRule="exact"/>
        <w:rPr>
          <w:sz w:val="20"/>
          <w:szCs w:val="20"/>
          <w:color w:val="auto"/>
        </w:rPr>
      </w:pPr>
    </w:p>
    <w:p>
      <w:pPr>
        <w:jc w:val="both"/>
        <w:ind w:right="300" w:firstLine="586"/>
        <w:spacing w:after="0" w:line="311" w:lineRule="auto"/>
        <w:rPr>
          <w:sz w:val="20"/>
          <w:szCs w:val="20"/>
          <w:color w:val="auto"/>
        </w:rPr>
      </w:pPr>
      <w:r>
        <w:rPr>
          <w:rFonts w:ascii="Arial" w:cs="Arial" w:eastAsia="Arial" w:hAnsi="Arial"/>
          <w:sz w:val="16"/>
          <w:szCs w:val="16"/>
          <w:color w:val="auto"/>
        </w:rPr>
        <w:t>2.44 “</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spacing w:after="0" w:line="149" w:lineRule="exact"/>
        <w:rPr>
          <w:sz w:val="20"/>
          <w:szCs w:val="20"/>
          <w:color w:val="auto"/>
        </w:rPr>
      </w:pPr>
    </w:p>
    <w:p>
      <w:pPr>
        <w:ind w:right="80" w:firstLine="586"/>
        <w:spacing w:after="0" w:line="263" w:lineRule="auto"/>
        <w:rPr>
          <w:sz w:val="20"/>
          <w:szCs w:val="20"/>
          <w:color w:val="auto"/>
        </w:rPr>
      </w:pPr>
      <w:r>
        <w:rPr>
          <w:rFonts w:ascii="Arial" w:cs="Arial" w:eastAsia="Arial" w:hAnsi="Arial"/>
          <w:sz w:val="18"/>
          <w:szCs w:val="18"/>
          <w:color w:val="auto"/>
        </w:rPr>
        <w:t>2.45 “</w:t>
      </w:r>
      <w:r>
        <w:rPr>
          <w:rFonts w:ascii="Arial" w:cs="Arial" w:eastAsia="Arial" w:hAnsi="Arial"/>
          <w:sz w:val="18"/>
          <w:szCs w:val="18"/>
          <w:b w:val="1"/>
          <w:bCs w:val="1"/>
          <w:i w:val="1"/>
          <w:iCs w:val="1"/>
          <w:color w:val="auto"/>
        </w:rPr>
        <w:t>Substitute Awards</w:t>
      </w:r>
      <w:r>
        <w:rPr>
          <w:rFonts w:ascii="Arial" w:cs="Arial" w:eastAsia="Arial" w:hAnsi="Arial"/>
          <w:sz w:val="18"/>
          <w:szCs w:val="18"/>
          <w:color w:val="auto"/>
        </w:rPr>
        <w:t>” means Awards granted or Shares issued by the Company in assumption of, or in substitution or exchange for, awards previously granted, or the right or obligation to make future awards, in each case by a company or other entity acquired by the Company or any Subsidiary or with which the Company or any Subsidiary combines.</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2.46 “</w:t>
      </w:r>
      <w:r>
        <w:rPr>
          <w:rFonts w:ascii="Arial" w:cs="Arial" w:eastAsia="Arial" w:hAnsi="Arial"/>
          <w:sz w:val="18"/>
          <w:szCs w:val="18"/>
          <w:b w:val="1"/>
          <w:bCs w:val="1"/>
          <w:i w:val="1"/>
          <w:iCs w:val="1"/>
          <w:color w:val="auto"/>
        </w:rPr>
        <w:t>Termination of Service</w:t>
      </w:r>
      <w:r>
        <w:rPr>
          <w:rFonts w:ascii="Arial" w:cs="Arial" w:eastAsia="Arial" w:hAnsi="Arial"/>
          <w:sz w:val="18"/>
          <w:szCs w:val="18"/>
          <w:color w:val="auto"/>
        </w:rPr>
        <w:t>” means:</w:t>
      </w:r>
    </w:p>
    <w:p>
      <w:pPr>
        <w:spacing w:after="0" w:line="225" w:lineRule="exact"/>
        <w:rPr>
          <w:sz w:val="20"/>
          <w:szCs w:val="20"/>
          <w:color w:val="auto"/>
        </w:rPr>
      </w:pPr>
    </w:p>
    <w:p>
      <w:pPr>
        <w:ind w:right="200" w:firstLine="1329"/>
        <w:spacing w:after="0" w:line="263" w:lineRule="auto"/>
        <w:tabs>
          <w:tab w:leader="none" w:pos="156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As to a Consultant, the time when the engagement of a Participant as a Consultant to the Company or a Subsidiary is terminated for any reason, with or without cause, including, without limitation, by resignation, discharge, death or retirement, but excluding terminations where the Consultant simultaneously commences or remains in employment or service with the Company or any Subsidiary.</w:t>
      </w:r>
    </w:p>
    <w:p>
      <w:pPr>
        <w:spacing w:after="0" w:line="183" w:lineRule="exact"/>
        <w:rPr>
          <w:rFonts w:ascii="Arial" w:cs="Arial" w:eastAsia="Arial" w:hAnsi="Arial"/>
          <w:sz w:val="18"/>
          <w:szCs w:val="18"/>
          <w:color w:val="auto"/>
        </w:rPr>
      </w:pPr>
    </w:p>
    <w:p>
      <w:pPr>
        <w:ind w:right="80" w:firstLine="1329"/>
        <w:spacing w:after="0" w:line="263" w:lineRule="auto"/>
        <w:tabs>
          <w:tab w:leader="none" w:pos="15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As to a Non-Employee Director, the time when a Participant who is a Non-Employee Director ceases to be a Director for any reason, including, without limitation, a termination by resignation, failure to be elected, death or retirement, but excluding terminations where the Participant simultaneously commences or remains in employment or service with the Company or any Subsidiary.</w:t>
      </w:r>
    </w:p>
    <w:p>
      <w:pPr>
        <w:spacing w:after="0" w:line="183" w:lineRule="exact"/>
        <w:rPr>
          <w:rFonts w:ascii="Arial" w:cs="Arial" w:eastAsia="Arial" w:hAnsi="Arial"/>
          <w:sz w:val="18"/>
          <w:szCs w:val="18"/>
          <w:color w:val="auto"/>
        </w:rPr>
      </w:pPr>
    </w:p>
    <w:p>
      <w:pPr>
        <w:jc w:val="both"/>
        <w:ind w:right="100" w:firstLine="1329"/>
        <w:spacing w:after="0" w:line="286" w:lineRule="auto"/>
        <w:tabs>
          <w:tab w:leader="none" w:pos="1565" w:val="left"/>
        </w:tabs>
        <w:numPr>
          <w:ilvl w:val="0"/>
          <w:numId w:val="42"/>
        </w:numPr>
        <w:rPr>
          <w:rFonts w:ascii="Arial" w:cs="Arial" w:eastAsia="Arial" w:hAnsi="Arial"/>
          <w:sz w:val="17"/>
          <w:szCs w:val="17"/>
          <w:color w:val="auto"/>
        </w:rPr>
      </w:pPr>
      <w:r>
        <w:rPr>
          <w:rFonts w:ascii="Arial" w:cs="Arial" w:eastAsia="Arial" w:hAnsi="Arial"/>
          <w:sz w:val="17"/>
          <w:szCs w:val="17"/>
          <w:color w:val="auto"/>
        </w:rPr>
        <w:t>As to an Employee, the time when the employee-employer relationship between a Participant and the Company or any Subsidiary is terminated for any reason, including, without limitation, a termination by resignation, discharge, death, disability or retirement; but excluding terminations where the Participant simultaneously commences or remains in employment or service with the Company or any Subsidiary.</w:t>
      </w:r>
    </w:p>
    <w:p>
      <w:pPr>
        <w:spacing w:after="0" w:line="165" w:lineRule="exact"/>
        <w:rPr>
          <w:sz w:val="20"/>
          <w:szCs w:val="20"/>
          <w:color w:val="auto"/>
        </w:rPr>
      </w:pPr>
    </w:p>
    <w:p>
      <w:pPr>
        <w:ind w:firstLine="586"/>
        <w:spacing w:after="0" w:line="257" w:lineRule="auto"/>
        <w:rPr>
          <w:sz w:val="20"/>
          <w:szCs w:val="20"/>
          <w:color w:val="auto"/>
        </w:rPr>
      </w:pPr>
      <w:r>
        <w:rPr>
          <w:rFonts w:ascii="Arial" w:cs="Arial" w:eastAsia="Arial" w:hAnsi="Arial"/>
          <w:sz w:val="18"/>
          <w:szCs w:val="18"/>
          <w:color w:val="auto"/>
        </w:rPr>
        <w:t>The Company, in its sole discretion, shall determine the effect of all matters and questions relating to any Termination of Service, including, without limitation, whether a Termination of Service has occurred, whether a Termination of Service resulted from a discharge for “cause” and all questions of whether particular leaves of absence constitute a Termination of Service. For purposes of the Plan, a Participant’s employee-employer relationship or consultancy relationship shall be deemed to be terminated in the event that the Subsidiary employing or contracting with such Participant ceases to remain a Subsidiary following any merger, sale of stock or other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3" w:name="page94"/>
    <w:bookmarkEnd w:id="93"/>
    <w:p>
      <w:pPr>
        <w:spacing w:after="0" w:line="277" w:lineRule="auto"/>
        <w:rPr>
          <w:sz w:val="20"/>
          <w:szCs w:val="20"/>
          <w:color w:val="auto"/>
        </w:rPr>
      </w:pPr>
      <w:r>
        <w:rPr>
          <w:rFonts w:ascii="Arial" w:cs="Arial" w:eastAsia="Arial" w:hAnsi="Arial"/>
          <w:sz w:val="18"/>
          <w:szCs w:val="18"/>
          <w:color w:val="auto"/>
        </w:rPr>
        <w:t>corporate transaction or event (including, without limitation, a spin-off), even though the Participant may subsequently continue to perform services for that entity.</w:t>
      </w:r>
    </w:p>
    <w:p>
      <w:pPr>
        <w:spacing w:after="0" w:line="382"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ELIGIBILITY</w:t>
      </w:r>
    </w:p>
    <w:p>
      <w:pPr>
        <w:spacing w:after="0" w:line="211" w:lineRule="exact"/>
        <w:rPr>
          <w:sz w:val="20"/>
          <w:szCs w:val="20"/>
          <w:color w:val="auto"/>
        </w:rPr>
      </w:pPr>
    </w:p>
    <w:p>
      <w:pPr>
        <w:ind w:right="40" w:firstLine="586"/>
        <w:spacing w:after="0" w:line="263" w:lineRule="auto"/>
        <w:rPr>
          <w:sz w:val="20"/>
          <w:szCs w:val="20"/>
          <w:color w:val="auto"/>
        </w:rPr>
      </w:pPr>
      <w:r>
        <w:rPr>
          <w:rFonts w:ascii="Arial" w:cs="Arial" w:eastAsia="Arial" w:hAnsi="Arial"/>
          <w:sz w:val="18"/>
          <w:szCs w:val="18"/>
          <w:color w:val="auto"/>
        </w:rPr>
        <w:t>Service Providers are eligible to be granted Awards under the Plan, subject to the limitations described herein. No Service Provider shall have any right to be granted an Award pursuant to the Plan and neither the Company nor the Administrator is obligated to treat Service Providers, Participants or any other persons uniformly.</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ADMINISTRATION AND DELEGATION</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Administration</w:t>
      </w:r>
      <w:r>
        <w:rPr>
          <w:rFonts w:ascii="Arial" w:cs="Arial" w:eastAsia="Arial" w:hAnsi="Arial"/>
          <w:sz w:val="18"/>
          <w:szCs w:val="18"/>
          <w:color w:val="auto"/>
        </w:rPr>
        <w:t>.</w:t>
      </w:r>
    </w:p>
    <w:p>
      <w:pPr>
        <w:spacing w:after="0" w:line="225" w:lineRule="exact"/>
        <w:rPr>
          <w:sz w:val="20"/>
          <w:szCs w:val="20"/>
          <w:color w:val="auto"/>
        </w:rPr>
      </w:pPr>
    </w:p>
    <w:p>
      <w:pPr>
        <w:ind w:firstLine="1329"/>
        <w:spacing w:after="0" w:line="289" w:lineRule="auto"/>
        <w:tabs>
          <w:tab w:leader="none" w:pos="1565" w:val="left"/>
        </w:tabs>
        <w:numPr>
          <w:ilvl w:val="1"/>
          <w:numId w:val="43"/>
        </w:numPr>
        <w:rPr>
          <w:rFonts w:ascii="Arial" w:cs="Arial" w:eastAsia="Arial" w:hAnsi="Arial"/>
          <w:sz w:val="16"/>
          <w:szCs w:val="16"/>
          <w:color w:val="auto"/>
        </w:rPr>
      </w:pPr>
      <w:r>
        <w:rPr>
          <w:rFonts w:ascii="Arial" w:cs="Arial" w:eastAsia="Arial" w:hAnsi="Arial"/>
          <w:sz w:val="16"/>
          <w:szCs w:val="16"/>
          <w:color w:val="auto"/>
        </w:rPr>
        <w:t>The Plan is administered by the Administrator. The Administrator has authority to determine which Service Providers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reconcile inconsistencies in the Plan or any Award and make all other determinations that it deems necessary or appropriate to administer the Plan and any Awards. The Administrator (and each member thereof) is entitled to, in good faith, rely or act upon any report or other information furnished to it, him or her by any officer or other employee of the Company or any Subsidiary, the Company’s independent certified public accountants, or any executive compensation consultant or other professional retained by the Company to assist in the administration of the Plan. The Administrator’s determinations under the Plan are in its sole discretion and will be final, binding and conclusive on all persons having or claiming any interest in the Plan or any Award.</w:t>
      </w:r>
    </w:p>
    <w:p>
      <w:pPr>
        <w:spacing w:after="0" w:line="166" w:lineRule="exact"/>
        <w:rPr>
          <w:rFonts w:ascii="Arial" w:cs="Arial" w:eastAsia="Arial" w:hAnsi="Arial"/>
          <w:sz w:val="16"/>
          <w:szCs w:val="16"/>
          <w:color w:val="auto"/>
        </w:rPr>
      </w:pPr>
    </w:p>
    <w:p>
      <w:pPr>
        <w:ind w:left="1580" w:hanging="251"/>
        <w:spacing w:after="0"/>
        <w:tabs>
          <w:tab w:leader="none" w:pos="1580" w:val="left"/>
        </w:tabs>
        <w:numPr>
          <w:ilvl w:val="1"/>
          <w:numId w:val="43"/>
        </w:numPr>
        <w:rPr>
          <w:rFonts w:ascii="Arial" w:cs="Arial" w:eastAsia="Arial" w:hAnsi="Arial"/>
          <w:sz w:val="16"/>
          <w:szCs w:val="16"/>
          <w:color w:val="auto"/>
        </w:rPr>
      </w:pPr>
      <w:r>
        <w:rPr>
          <w:rFonts w:ascii="Arial" w:cs="Arial" w:eastAsia="Arial" w:hAnsi="Arial"/>
          <w:sz w:val="16"/>
          <w:szCs w:val="16"/>
          <w:color w:val="auto"/>
        </w:rPr>
        <w:t>Without limiting the foregoing, the Administrator has the exclusive power, authority and sole discretion to: (i) designate Participants;</w:t>
      </w:r>
    </w:p>
    <w:p>
      <w:pPr>
        <w:spacing w:after="0" w:line="46" w:lineRule="exact"/>
        <w:rPr>
          <w:rFonts w:ascii="Arial" w:cs="Arial" w:eastAsia="Arial" w:hAnsi="Arial"/>
          <w:sz w:val="16"/>
          <w:szCs w:val="16"/>
          <w:color w:val="auto"/>
        </w:rPr>
      </w:pPr>
    </w:p>
    <w:p>
      <w:pPr>
        <w:ind w:right="40" w:firstLine="8"/>
        <w:spacing w:after="0" w:line="281" w:lineRule="auto"/>
        <w:tabs>
          <w:tab w:leader="none" w:pos="265" w:val="left"/>
        </w:tabs>
        <w:numPr>
          <w:ilvl w:val="0"/>
          <w:numId w:val="44"/>
        </w:numPr>
        <w:rPr>
          <w:rFonts w:ascii="Arial" w:cs="Arial" w:eastAsia="Arial" w:hAnsi="Arial"/>
          <w:sz w:val="16"/>
          <w:szCs w:val="16"/>
          <w:color w:val="auto"/>
        </w:rPr>
      </w:pPr>
      <w:r>
        <w:rPr>
          <w:rFonts w:ascii="Arial" w:cs="Arial" w:eastAsia="Arial" w:hAnsi="Arial"/>
          <w:sz w:val="16"/>
          <w:szCs w:val="16"/>
          <w:color w:val="auto"/>
        </w:rPr>
        <w:t>determine the type or types of Awards to be granted to each Participant; (iii) determine the number of Awards to be granted and the number of Shares to which an Award will relate; (iv) subject to the limitations in the Plan, determine the terms and conditions of any Award and related Award Agreement, including, but not limited to, the exercise price, grant price, purchase price, any performance criteria, any restrictions or limitations on the Award, any schedule for vesting, lapse of forfeiture restrictions or restrictions on the exercisability of an Award, and accelerations, waivers or amendments thereof;</w:t>
      </w:r>
    </w:p>
    <w:p>
      <w:pPr>
        <w:spacing w:after="0" w:line="2" w:lineRule="exact"/>
        <w:rPr>
          <w:rFonts w:ascii="Arial" w:cs="Arial" w:eastAsia="Arial" w:hAnsi="Arial"/>
          <w:sz w:val="16"/>
          <w:szCs w:val="16"/>
          <w:color w:val="auto"/>
        </w:rPr>
      </w:pPr>
    </w:p>
    <w:p>
      <w:pPr>
        <w:ind w:right="280" w:firstLine="8"/>
        <w:spacing w:after="0" w:line="255" w:lineRule="auto"/>
        <w:tabs>
          <w:tab w:leader="none" w:pos="2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determine whether, to what extent, and under what circumstances an Award may be settled in, or the exercise price of an Award may be paid in cash, Shares, or other property, or an Award may be canceled, forfeited, or surrendered; and (vi) make all other decisions and determinations that may be required pursuant to the Plan or as the Administrator deems necessary or advisable to administer the Plan.</w:t>
      </w:r>
    </w:p>
    <w:p>
      <w:pPr>
        <w:spacing w:after="0" w:line="190" w:lineRule="exact"/>
        <w:rPr>
          <w:sz w:val="20"/>
          <w:szCs w:val="20"/>
          <w:color w:val="auto"/>
        </w:rPr>
      </w:pPr>
    </w:p>
    <w:p>
      <w:pPr>
        <w:ind w:right="100" w:firstLine="586"/>
        <w:spacing w:after="0" w:line="288"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Delegation of Authority</w:t>
      </w:r>
      <w:r>
        <w:rPr>
          <w:rFonts w:ascii="Arial" w:cs="Arial" w:eastAsia="Arial" w:hAnsi="Arial"/>
          <w:sz w:val="16"/>
          <w:szCs w:val="16"/>
          <w:color w:val="auto"/>
        </w:rPr>
        <w:t>. To the extent permitted by Applicable Law, the Board or any Committee may delegate any or all of its powers under the Plan to one or more Committees or officers of the Company or any of its Subsidiaries; provided, however, that in no event shall an officer of the Company or any of its Subsidiaries be delegated the authority to grant Awards to, or amend Awards held by, the following individuals: (a) individuals who are subject to Section 16 of the Exchange Act, or (b) officers of the Company or any of its Subsidiaries or Directors to whom authority to grant or amend Awards has been delegated hereunder. Any delegation hereunder shall be subject to the restrictions and limits that the Board or Committee specifies at the time of such delegation or that are otherwise included in the applicable organizational documents, and the Board or Committee, as applicable, may at any time rescind the authority so delegated or appoint a new delegatee. At all times, the delegatee appointed under this Section 4.2 shall serve in such capacity at the pleasure of the Board or the Committee, as applicable, and the Board or the Committee may abolish any committee at any time and re-vest in itself any previously delegated authority. Further, regardless of any delegation, the Board or a Committee may, in its discretion, exercise any and all rights and duties as the Administrator under the Plan delegated thereby, except with respect to Awards that are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4" w:name="page95"/>
    <w:bookmarkEnd w:id="94"/>
    <w:p>
      <w:pPr>
        <w:ind w:right="240"/>
        <w:spacing w:after="0" w:line="277" w:lineRule="auto"/>
        <w:rPr>
          <w:sz w:val="20"/>
          <w:szCs w:val="20"/>
          <w:color w:val="auto"/>
        </w:rPr>
      </w:pPr>
      <w:r>
        <w:rPr>
          <w:rFonts w:ascii="Arial" w:cs="Arial" w:eastAsia="Arial" w:hAnsi="Arial"/>
          <w:sz w:val="18"/>
          <w:szCs w:val="18"/>
          <w:color w:val="auto"/>
        </w:rPr>
        <w:t>required to be determined in the sole discretion of the Committee under the rules of any securities exchange or automated quotation system on which the Shares are listed, quoted or traded.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AVAILABLE FOR AWARDS</w:t>
      </w:r>
    </w:p>
    <w:p>
      <w:pPr>
        <w:spacing w:after="0" w:line="211" w:lineRule="exact"/>
        <w:rPr>
          <w:sz w:val="20"/>
          <w:szCs w:val="20"/>
          <w:color w:val="auto"/>
        </w:rPr>
      </w:pPr>
    </w:p>
    <w:p>
      <w:pPr>
        <w:ind w:right="180" w:firstLine="586"/>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Number of Shares</w:t>
      </w:r>
      <w:r>
        <w:rPr>
          <w:rFonts w:ascii="Arial" w:cs="Arial" w:eastAsia="Arial" w:hAnsi="Arial"/>
          <w:sz w:val="18"/>
          <w:szCs w:val="18"/>
          <w:color w:val="auto"/>
        </w:rPr>
        <w:t>. Subject to adjustment under Article IX and the terms of this Article V, Awards may be made under the Plan covering up to the Overall Share Limit. As of the Effective Date, the Company will cease granting awards under the Prior Plan; however, Prior Plan Awards will remain subject to the terms of the Prior Plan. Shares issued or delivered under the Plan may consist of authorized but unissued Shares, Shares purchased on the open market or treasury Shares.</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Share Recycling</w:t>
      </w:r>
      <w:r>
        <w:rPr>
          <w:rFonts w:ascii="Arial" w:cs="Arial" w:eastAsia="Arial" w:hAnsi="Arial"/>
          <w:sz w:val="18"/>
          <w:szCs w:val="18"/>
          <w:color w:val="auto"/>
        </w:rPr>
        <w:t>.</w:t>
      </w:r>
    </w:p>
    <w:p>
      <w:pPr>
        <w:spacing w:after="0" w:line="225" w:lineRule="exact"/>
        <w:rPr>
          <w:sz w:val="20"/>
          <w:szCs w:val="20"/>
          <w:color w:val="auto"/>
        </w:rPr>
      </w:pPr>
    </w:p>
    <w:p>
      <w:pPr>
        <w:ind w:right="100" w:firstLine="1329"/>
        <w:spacing w:after="0" w:line="254" w:lineRule="auto"/>
        <w:tabs>
          <w:tab w:leader="none" w:pos="1565"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all or any part of an Award or Prior Plan Award expires, lapses or is terminated, converted into an award in respect of shares of another entity in connection with a spin-off or other similar event, exchanged for cash, surrendered, repurchased, canceled without having been fully exercised or forfeited, in any case, in a manner that results in the Company acquiring Shares covered by the Award or Prior Plan Award at a price not greater than the price (as adjusted to reflect any Equity Restructuring) paid by the Participant for such Shares or not issuing any Shares covered by the Award or Prior Plan Award, the unused Shares covered by the Award or Prior Plan Award will, as applicable, become or again be available for Awards under the Plan. The payment of Dividend Equivalents in cash in conjunction with any outstanding Awards or Prior Plan Awards shall not count against the Overall Share Limit.</w:t>
      </w:r>
    </w:p>
    <w:p>
      <w:pPr>
        <w:spacing w:after="0" w:line="194" w:lineRule="exact"/>
        <w:rPr>
          <w:rFonts w:ascii="Arial" w:cs="Arial" w:eastAsia="Arial" w:hAnsi="Arial"/>
          <w:sz w:val="18"/>
          <w:szCs w:val="18"/>
          <w:color w:val="auto"/>
        </w:rPr>
      </w:pPr>
    </w:p>
    <w:p>
      <w:pPr>
        <w:ind w:right="20" w:firstLine="1329"/>
        <w:spacing w:after="0" w:line="273" w:lineRule="auto"/>
        <w:tabs>
          <w:tab w:leader="none" w:pos="1575"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 addition, the following Shares shall be available for future grants of Awards: (i) Shares tendered by a Participant or withheld by the Company in payment of the exercise price of an Option or any stock option granted under the Prior Plan; (ii) Shares tendered by the Participant or withheld by the Company to satisfy any tax withholding obligation with respect to an Award or any award granted under the Prior Plan; and (iii) Shares subject to a Stock Appreciation Right that are not issued in connection with the stock settlement of the Stock Appreciation Right on exercise thereof. Notwithstanding the provisions of this Section 5.2(b), no Shares may again be optioned, granted or awarded pursuant to an Incentive Stock Option if such action would cause such Option to fail to qualify as an incentive stock option under Section 422 of the Code.</w:t>
      </w:r>
    </w:p>
    <w:p>
      <w:pPr>
        <w:spacing w:after="0" w:line="178" w:lineRule="exact"/>
        <w:rPr>
          <w:sz w:val="20"/>
          <w:szCs w:val="20"/>
          <w:color w:val="auto"/>
        </w:rPr>
      </w:pPr>
    </w:p>
    <w:p>
      <w:pPr>
        <w:ind w:right="280" w:firstLine="586"/>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Incentive Stock Option Limitations</w:t>
      </w:r>
      <w:r>
        <w:rPr>
          <w:rFonts w:ascii="Arial" w:cs="Arial" w:eastAsia="Arial" w:hAnsi="Arial"/>
          <w:sz w:val="18"/>
          <w:szCs w:val="18"/>
          <w:color w:val="auto"/>
        </w:rPr>
        <w:t>. Notwithstanding anything to the contrary herein, no more than 75,000,000 Shares (as adjusted to reflect any Equity Restructuring) may be issued pursuant to the exercise of Incentive Stock Options.</w:t>
      </w:r>
    </w:p>
    <w:p>
      <w:pPr>
        <w:spacing w:after="0" w:line="170" w:lineRule="exact"/>
        <w:rPr>
          <w:sz w:val="20"/>
          <w:szCs w:val="20"/>
          <w:color w:val="auto"/>
        </w:rPr>
      </w:pPr>
    </w:p>
    <w:p>
      <w:pPr>
        <w:ind w:firstLine="586"/>
        <w:spacing w:after="0" w:line="286"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Substitute Awards</w:t>
      </w:r>
      <w:r>
        <w:rPr>
          <w:rFonts w:ascii="Arial" w:cs="Arial" w:eastAsia="Arial" w:hAnsi="Arial"/>
          <w:sz w:val="16"/>
          <w:szCs w:val="16"/>
          <w:color w:val="auto"/>
        </w:rPr>
        <w:t>. In connection with an entity’s merger or consolidation with the Company or any Subsidiary or the Company’s or any Subsidiary’s acquisition of an entity’s property or stock, the Administrator may grant Awards in substitution for any options or other stock or stock-based awards granted before such merger or consolidation by such entity or its affiliate. Substitute Awards may be granted on such terms and conditions as the Administrator deems appropriate, notwithstanding limitations on Awards in the Plan. Substitute Awards will not count against the Overall Share Limit (nor shall Shares subject to a Substitute Award be added to the Shares available for Awards under the Plan as provided above), except that Shares acquired by exercise of substitute Incentive Stock Options will count against the maximum number of Shares that may be issued pursuant to the exercise of Incentive Stock Options under the Plan.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appropriately adjusted to reflect the transaction) may be used for Awards under the Plan and shall not reduce the Shares authorized for grant under the Plan (and Shares subject to such Awards may again become available for Awards under the Plan as provided under Section 5.2 above); provided that Awards using such available shares shall not be made after the date awards or grants could have been made under the terms of the pre-existing plan, absent the acquisition or combination, and shall only be made to individuals who were not employees or directors of the Company or any of its Subsidiaries prior to such acquisition or combination.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5" w:name="page96"/>
    <w:bookmarkEnd w:id="95"/>
    <w:p>
      <w:pPr>
        <w:ind w:right="180" w:firstLine="586"/>
        <w:spacing w:after="0" w:line="255"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Non-Employee Director Award Limit</w:t>
      </w:r>
      <w:r>
        <w:rPr>
          <w:rFonts w:ascii="Arial" w:cs="Arial" w:eastAsia="Arial" w:hAnsi="Arial"/>
          <w:sz w:val="18"/>
          <w:szCs w:val="18"/>
          <w:color w:val="auto"/>
        </w:rPr>
        <w:t>. Notwithstanding any provision to the contrary in the Plan or in any policy of the Company regarding non-employee director compensation, the sum of the grant date fair value (determined as of the grant date in accordance with Financial Accounting Standards Board Accounting Standards Codification Topic 718, or any successor thereto) of all equity-based Awards and the maximum amount that may become payable pursuant to all cash-based Awards that may be granted to a Service Provider as compensation for services as a Non-Employee Director during any calendar year shall not exceed $1,000,000 for such Service Provider’s first year of service as a Non-Employee Director and $500,000 for each year thereafter.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OPTIONS AND STOCK APPRECIATION RIGHTS</w:t>
      </w:r>
    </w:p>
    <w:p>
      <w:pPr>
        <w:spacing w:after="0" w:line="211" w:lineRule="exact"/>
        <w:rPr>
          <w:sz w:val="20"/>
          <w:szCs w:val="20"/>
          <w:color w:val="auto"/>
        </w:rPr>
      </w:pPr>
    </w:p>
    <w:p>
      <w:pPr>
        <w:ind w:firstLine="586"/>
        <w:spacing w:after="0" w:line="270"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General</w:t>
      </w:r>
      <w:r>
        <w:rPr>
          <w:rFonts w:ascii="Arial" w:cs="Arial" w:eastAsia="Arial" w:hAnsi="Arial"/>
          <w:sz w:val="17"/>
          <w:szCs w:val="17"/>
          <w:color w:val="auto"/>
        </w:rPr>
        <w:t>. The Administrator may grant Options or Stock Appreciation Rights to one or more Service Providers, subject to such terms and conditions not inconsistent with the Plan as the Administrator shall determine. The Administrator will determine the number of Shares covered by each Option and Stock Appreciation Right, the exercise price of each Option and Stock Appreciation Right and the conditions and limitations applicable to the exercise of each Option and Stock Appreciation Right. A Stock Appreciation Right will entitle the Participant (or other person entitled to exercise the Stock Appreciation Right) to receive from the Company upon exercise of the exercisable portion of the Stock Appreciation Right an amount determined by multiplying the excess, if any, of the Fair Market Value of one Share on the date of exercise over the exercise price per Share of the Stock Appreciation Right by the number of Shares with respect to which the Stock Appreciation Right is exercised, subject to any limitations of the Plan or that the Administrator may impose and payable in cash, Shares valued at Fair Market Value on the date of exercise or a combination of the two as the Administrator may determine or provide in the Award Agreement.</w:t>
      </w:r>
    </w:p>
    <w:p>
      <w:pPr>
        <w:spacing w:after="0" w:line="181" w:lineRule="exact"/>
        <w:rPr>
          <w:sz w:val="20"/>
          <w:szCs w:val="20"/>
          <w:color w:val="auto"/>
        </w:rPr>
      </w:pPr>
    </w:p>
    <w:p>
      <w:pPr>
        <w:ind w:right="180" w:firstLine="586"/>
        <w:spacing w:after="0" w:line="255"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Exercise Price</w:t>
      </w:r>
      <w:r>
        <w:rPr>
          <w:rFonts w:ascii="Arial" w:cs="Arial" w:eastAsia="Arial" w:hAnsi="Arial"/>
          <w:sz w:val="18"/>
          <w:szCs w:val="18"/>
          <w:color w:val="auto"/>
        </w:rPr>
        <w:t>. The Administrator will establish each Option’s and Stock Appreciation Right’s exercise price and specify the exercise price in the Award Agreement. Subject to Section 6.6, the exercise price will not be less than 100% of the Fair Market Value on the grant date of the Option or Stock Appreciation Right. Notwithstanding the foregoing, in the case of an Option or Stock Appreciation Right that is a Substitute Award, the exercise price per share of the Shares subject to such Option or Stock Appreciation Right, as applicable, may be less than the Fair Market Value per share on the date of grant; provided that the exercise price of any Substitute Award shall be determined in accordance with the applicable requirements of Section 424 and 409A of the Code.</w:t>
      </w:r>
    </w:p>
    <w:p>
      <w:pPr>
        <w:spacing w:after="0" w:line="192" w:lineRule="exact"/>
        <w:rPr>
          <w:sz w:val="20"/>
          <w:szCs w:val="20"/>
          <w:color w:val="auto"/>
        </w:rPr>
      </w:pPr>
    </w:p>
    <w:p>
      <w:pPr>
        <w:ind w:right="60" w:firstLine="586"/>
        <w:spacing w:after="0" w:line="269"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Duration of Options</w:t>
      </w:r>
      <w:r>
        <w:rPr>
          <w:rFonts w:ascii="Arial" w:cs="Arial" w:eastAsia="Arial" w:hAnsi="Arial"/>
          <w:sz w:val="17"/>
          <w:szCs w:val="17"/>
          <w:color w:val="auto"/>
        </w:rPr>
        <w:t>. Subject to Section 6.6, each Option or Stock Appreciation Right will be exercisable at such times and as specified in the Award Agreement, provided that the term of an Option or Stock Appreciation Right will not exceed ten years; provided, further, that, unless otherwise determined by the Administrator, (a) no portion of an Option or Stock Appreciation Right which is unexercisable at a Participant’s Termination of Service shall thereafter become exercisable and (b) the portion of an Option or Stock Appreciation Right that is unexercisable at a Participant’s Termination of Service shall automatically expire on the date of such Termination of Service. Notwithstanding the foregoing, if the Participant, prior to the end of the term of an Option or Stock Appreciation Right, commits an act of “cause” (as determined by the Administrator), or violates any non-competition, non-solicitation or confidentiality provisions of any employment contract, confidentiality and nondisclosure agreement or other agreement between the Participant and the Company or any of its Subsidiaries, the right to exercise the Option or Stock Appreciation Right, as applicable, may be terminated by the Company and the Company may suspend the Participant’s right to exercise the Option or Stock Appreciation Right when it reasonably believes that the Participant may have participated in any such act or violation.</w:t>
      </w:r>
    </w:p>
    <w:p>
      <w:pPr>
        <w:spacing w:after="0" w:line="185" w:lineRule="exact"/>
        <w:rPr>
          <w:sz w:val="20"/>
          <w:szCs w:val="20"/>
          <w:color w:val="auto"/>
        </w:rPr>
      </w:pPr>
    </w:p>
    <w:p>
      <w:pPr>
        <w:ind w:right="100" w:firstLine="586"/>
        <w:spacing w:after="0" w:line="254"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Exercise</w:t>
      </w:r>
      <w:r>
        <w:rPr>
          <w:rFonts w:ascii="Arial" w:cs="Arial" w:eastAsia="Arial" w:hAnsi="Arial"/>
          <w:sz w:val="18"/>
          <w:szCs w:val="18"/>
          <w:color w:val="auto"/>
        </w:rPr>
        <w:t>. Options and Stock Appreciation Rights may be exercised by delivering to the Company (or such other person or entity designated by the Administrator) a notice of exercise, in a form and manner the Company approves (which may be written, electronic or telephonic and may contain representations and warranties deemed advisable by the Administrator), signed or authenticated by the person authorized to exercise the Option or Stock Appreciation Right, together with, as applicable, payment in full of (a) the exercise price for the number of Shares for which the Option is exercised in a manner specified in Section 6.5 and (b) all applicable taxes in a manner specified in Section 10.5. The Administrator may, in its discretion, limit exercise with respect to fractional Shares and require that any partial exercise of an Option or Stock Appreciation Right be with respect to a minimum number of Shares.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6" w:name="page97"/>
    <w:bookmarkEnd w:id="96"/>
    <w:p>
      <w:pPr>
        <w:ind w:right="220" w:firstLine="586"/>
        <w:spacing w:after="0" w:line="27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Payment Upon Exercise</w:t>
      </w:r>
      <w:r>
        <w:rPr>
          <w:rFonts w:ascii="Arial" w:cs="Arial" w:eastAsia="Arial" w:hAnsi="Arial"/>
          <w:sz w:val="18"/>
          <w:szCs w:val="18"/>
          <w:color w:val="auto"/>
        </w:rPr>
        <w:t>. The Administrator shall determine the methods by which payment of the exercise price of an Option shall be made, including, without limitation:</w:t>
      </w:r>
    </w:p>
    <w:p>
      <w:pPr>
        <w:spacing w:after="0" w:line="170" w:lineRule="exact"/>
        <w:rPr>
          <w:sz w:val="20"/>
          <w:szCs w:val="20"/>
          <w:color w:val="auto"/>
        </w:rPr>
      </w:pPr>
    </w:p>
    <w:p>
      <w:pPr>
        <w:ind w:right="340" w:firstLine="1329"/>
        <w:spacing w:after="0" w:line="277" w:lineRule="auto"/>
        <w:tabs>
          <w:tab w:leader="none" w:pos="1565" w:val="left"/>
        </w:tabs>
        <w:numPr>
          <w:ilvl w:val="0"/>
          <w:numId w:val="47"/>
        </w:numPr>
        <w:rPr>
          <w:rFonts w:ascii="Arial" w:cs="Arial" w:eastAsia="Arial" w:hAnsi="Arial"/>
          <w:sz w:val="18"/>
          <w:szCs w:val="18"/>
          <w:color w:val="auto"/>
        </w:rPr>
      </w:pPr>
      <w:r>
        <w:rPr>
          <w:rFonts w:ascii="Arial" w:cs="Arial" w:eastAsia="Arial" w:hAnsi="Arial"/>
          <w:sz w:val="18"/>
          <w:szCs w:val="18"/>
          <w:color w:val="auto"/>
        </w:rPr>
        <w:t>cash, check or wire transfer of immediately available funds; provided that the Company may limit the use of one of the foregoing methods if one or more of the methods below is permitted;</w:t>
      </w:r>
    </w:p>
    <w:p>
      <w:pPr>
        <w:spacing w:after="0" w:line="170" w:lineRule="exact"/>
        <w:rPr>
          <w:rFonts w:ascii="Arial" w:cs="Arial" w:eastAsia="Arial" w:hAnsi="Arial"/>
          <w:sz w:val="18"/>
          <w:szCs w:val="18"/>
          <w:color w:val="auto"/>
        </w:rPr>
      </w:pPr>
    </w:p>
    <w:p>
      <w:pPr>
        <w:ind w:firstLine="1329"/>
        <w:spacing w:after="0" w:line="293" w:lineRule="auto"/>
        <w:tabs>
          <w:tab w:leader="none" w:pos="1575" w:val="left"/>
        </w:tabs>
        <w:numPr>
          <w:ilvl w:val="0"/>
          <w:numId w:val="47"/>
        </w:numPr>
        <w:rPr>
          <w:rFonts w:ascii="Arial" w:cs="Arial" w:eastAsia="Arial" w:hAnsi="Arial"/>
          <w:sz w:val="16"/>
          <w:szCs w:val="16"/>
          <w:color w:val="auto"/>
        </w:rPr>
      </w:pPr>
      <w:r>
        <w:rPr>
          <w:rFonts w:ascii="Arial" w:cs="Arial" w:eastAsia="Arial" w:hAnsi="Arial"/>
          <w:sz w:val="16"/>
          <w:szCs w:val="16"/>
          <w:color w:val="auto"/>
        </w:rPr>
        <w:t>if there is a public market for Shares at the time of exercise, unless the Company otherwise determines, (A) delivery (including electronically or telephonically to the extent permitted by the Company) of a notice that the Participant has placed a market sell order with a broker acceptable to the Company with respect to Shares then issuable upon exercise of the Option and that the broker has been directed to deliver promptly to the Company funds sufficient to pay the exercise price, or (B) the Participant’s delivery to the Company of a copy of irrevocable and unconditional instructions to a broker acceptable to the Company to deliver promptly to the Company an amount sufficient to pay the exercise price by cash, wire transfer of immediately available funds or check; provided that such amount is paid to the Company at such time as may be required by the Company;</w:t>
      </w:r>
    </w:p>
    <w:p>
      <w:pPr>
        <w:spacing w:after="0" w:line="164" w:lineRule="exact"/>
        <w:rPr>
          <w:rFonts w:ascii="Arial" w:cs="Arial" w:eastAsia="Arial" w:hAnsi="Arial"/>
          <w:sz w:val="16"/>
          <w:szCs w:val="16"/>
          <w:color w:val="auto"/>
        </w:rPr>
      </w:pPr>
    </w:p>
    <w:p>
      <w:pPr>
        <w:ind w:right="360" w:firstLine="1329"/>
        <w:spacing w:after="0" w:line="277" w:lineRule="auto"/>
        <w:tabs>
          <w:tab w:leader="none" w:pos="156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the extent permitted by the Administrator, delivery (either by actual delivery or attestation) of Shares owned by the Participant valued at their Fair Market Value on the date of delivery;</w:t>
      </w:r>
    </w:p>
    <w:p>
      <w:pPr>
        <w:spacing w:after="0" w:line="170" w:lineRule="exact"/>
        <w:rPr>
          <w:rFonts w:ascii="Arial" w:cs="Arial" w:eastAsia="Arial" w:hAnsi="Arial"/>
          <w:sz w:val="18"/>
          <w:szCs w:val="18"/>
          <w:color w:val="auto"/>
        </w:rPr>
      </w:pPr>
    </w:p>
    <w:p>
      <w:pPr>
        <w:ind w:right="20" w:firstLine="1329"/>
        <w:spacing w:after="0" w:line="277" w:lineRule="auto"/>
        <w:tabs>
          <w:tab w:leader="none" w:pos="15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the extent permitted by the Administrator, surrendering Shares then issuable upon the Option’s exercise valued at their Fair Market Value on the exercise date;</w:t>
      </w:r>
    </w:p>
    <w:p>
      <w:pPr>
        <w:spacing w:after="0" w:line="170" w:lineRule="exact"/>
        <w:rPr>
          <w:rFonts w:ascii="Arial" w:cs="Arial" w:eastAsia="Arial" w:hAnsi="Arial"/>
          <w:sz w:val="18"/>
          <w:szCs w:val="18"/>
          <w:color w:val="auto"/>
        </w:rPr>
      </w:pPr>
    </w:p>
    <w:p>
      <w:pPr>
        <w:ind w:left="1580" w:hanging="251"/>
        <w:spacing w:after="0"/>
        <w:tabs>
          <w:tab w:leader="none" w:pos="1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the extent permitted by the Administrator, delivery of a promissory note or any other lawful consideration; or</w:t>
      </w:r>
    </w:p>
    <w:p>
      <w:pPr>
        <w:spacing w:after="0" w:line="225" w:lineRule="exact"/>
        <w:rPr>
          <w:rFonts w:ascii="Arial" w:cs="Arial" w:eastAsia="Arial" w:hAnsi="Arial"/>
          <w:sz w:val="18"/>
          <w:szCs w:val="18"/>
          <w:color w:val="auto"/>
        </w:rPr>
      </w:pPr>
    </w:p>
    <w:p>
      <w:pPr>
        <w:ind w:left="1560" w:hanging="231"/>
        <w:spacing w:after="0"/>
        <w:tabs>
          <w:tab w:leader="none" w:pos="15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the extent permitted by the Administrator, any combination of the above payment forms.</w:t>
      </w:r>
    </w:p>
    <w:p>
      <w:pPr>
        <w:spacing w:after="0" w:line="225" w:lineRule="exact"/>
        <w:rPr>
          <w:sz w:val="20"/>
          <w:szCs w:val="20"/>
          <w:color w:val="auto"/>
        </w:rPr>
      </w:pPr>
    </w:p>
    <w:p>
      <w:pPr>
        <w:ind w:right="40" w:firstLine="586"/>
        <w:spacing w:after="0" w:line="268"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Additional Terms of Incentive Stock Options</w:t>
      </w:r>
      <w:r>
        <w:rPr>
          <w:rFonts w:ascii="Arial" w:cs="Arial" w:eastAsia="Arial" w:hAnsi="Arial"/>
          <w:sz w:val="17"/>
          <w:szCs w:val="17"/>
          <w:color w:val="auto"/>
        </w:rPr>
        <w:t>. The Administrator may grant Incentive Stock Options only to employees of the Company, any of its present or future parent or subsidiary corporations, as defined in Sections 424(e) or (f) of the Code, respectively, and any other entities the employees of which are eligible to receive Incentive Stock Options under the Code. If an Incentive Stock Option is granted to a Greater Than 10% Stockholder, the exercise price will not be less than 110% of the Fair Market Value on the Option’s grant date, and the term of the Option will not exceed five years. All Incentive Stock Options (and Award Agreements related thereto) will be subject to and construed consistently with Section 422 of the Code. By accepting an Incentive Stock Option, the Participant agrees to give prompt notice to the Company of dispositions or other transfers (other than in connection with a Change in Control) of Shares acquired under the Option made within (a) two years from the grant date of the Option or (b) one year after the transfer of such Shares to the Participant, specifying the date of the disposition or other transfer and the amount the Participant realized, in cash, other property, assumption of indebtedness or other consideration, in such disposition or other transfer. Neither the Company nor the Administrator will be liable to a Participant, or any other party, if an Incentive Stock Option fails or ceases to qualify as an “incentive stock option” under Section 422 of the Code. Any Incentive Stock Option or portion thereof that fails to qualify as an “incentive stock option” under Section 422 of the Code for any reason, including becoming exercisable with respect to Shares having a fair market value exceeding the $100,000 limitation under Treasury Regulation Section 1.422-4, will be a Nonqualified Stock Option.</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RESTRICTED STOCK; RESTRICTED STOCK UNITS</w:t>
      </w:r>
    </w:p>
    <w:p>
      <w:pPr>
        <w:spacing w:after="0" w:line="211" w:lineRule="exact"/>
        <w:rPr>
          <w:sz w:val="20"/>
          <w:szCs w:val="20"/>
          <w:color w:val="auto"/>
        </w:rPr>
      </w:pPr>
    </w:p>
    <w:p>
      <w:pPr>
        <w:ind w:right="20" w:firstLine="586"/>
        <w:spacing w:after="0" w:line="255"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General</w:t>
      </w:r>
      <w:r>
        <w:rPr>
          <w:rFonts w:ascii="Arial" w:cs="Arial" w:eastAsia="Arial" w:hAnsi="Arial"/>
          <w:sz w:val="18"/>
          <w:szCs w:val="18"/>
          <w:color w:val="auto"/>
        </w:rPr>
        <w:t>. The Administrator may grant Restricted Stock, or the right to purchase Restricted Stock, to any Service Provider, subject to forfeiture or the Company’s right to repurchase all or part of such shares at their issue price or other stated or formula price from the Participant if conditions the Administrator specifies in the Award Agreement are not satisfied before the end of the applicable restriction period or periods that the Administrator establishes for such Award. In addition, the Administrator may grant Restricted Stock Units, which may be subject to vesting and forfeiture conditions during the applicable restriction period or periods, as set forth in an Award Agreement, to Service Providers. The Administrator shall establish the purchase price, if any, and form of payment</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97" w:name="page98"/>
    <w:bookmarkEnd w:id="97"/>
    <w:p>
      <w:pPr>
        <w:ind w:right="300"/>
        <w:spacing w:after="0" w:line="301" w:lineRule="auto"/>
        <w:rPr>
          <w:sz w:val="20"/>
          <w:szCs w:val="20"/>
          <w:color w:val="auto"/>
        </w:rPr>
      </w:pPr>
      <w:r>
        <w:rPr>
          <w:rFonts w:ascii="Arial" w:cs="Arial" w:eastAsia="Arial" w:hAnsi="Arial"/>
          <w:sz w:val="16"/>
          <w:szCs w:val="16"/>
          <w:color w:val="auto"/>
        </w:rPr>
        <w:t>for Restricted Stock and Restricted Stock Units; provided, however, that if a purchase price is charged, such purchase price shall be no less than the par value, if any, of the Shares to be purchased, unless otherwise permitted by Applicable Law. In all cases, legal consideration shall be required for each issuance of Restricted Stock and Restricted Stock Units to the extent required by Applicable Law. The Award Agreement for each Restricted Stock and Restricted Stock Unit Award shall set forth the terms and conditions not inconsistent with the Plan as the Administrator shall determine.</w:t>
      </w:r>
    </w:p>
    <w:p>
      <w:pPr>
        <w:spacing w:after="0" w:line="15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Restricted Stock</w:t>
      </w:r>
      <w:r>
        <w:rPr>
          <w:rFonts w:ascii="Arial" w:cs="Arial" w:eastAsia="Arial" w:hAnsi="Arial"/>
          <w:sz w:val="18"/>
          <w:szCs w:val="18"/>
          <w:color w:val="auto"/>
        </w:rPr>
        <w:t>.</w:t>
      </w:r>
    </w:p>
    <w:p>
      <w:pPr>
        <w:spacing w:after="0" w:line="225" w:lineRule="exact"/>
        <w:rPr>
          <w:sz w:val="20"/>
          <w:szCs w:val="20"/>
          <w:color w:val="auto"/>
        </w:rPr>
      </w:pPr>
    </w:p>
    <w:p>
      <w:pPr>
        <w:ind w:right="20" w:firstLine="1329"/>
        <w:spacing w:after="0" w:line="271" w:lineRule="auto"/>
        <w:tabs>
          <w:tab w:leader="none" w:pos="1565" w:val="left"/>
        </w:tabs>
        <w:numPr>
          <w:ilvl w:val="0"/>
          <w:numId w:val="48"/>
        </w:numPr>
        <w:rPr>
          <w:rFonts w:ascii="Arial" w:cs="Arial" w:eastAsia="Arial" w:hAnsi="Arial"/>
          <w:sz w:val="17"/>
          <w:szCs w:val="17"/>
          <w:color w:val="auto"/>
        </w:rPr>
      </w:pPr>
      <w:r>
        <w:rPr>
          <w:rFonts w:ascii="Arial" w:cs="Arial" w:eastAsia="Arial" w:hAnsi="Arial"/>
          <w:sz w:val="17"/>
          <w:szCs w:val="17"/>
          <w:i w:val="1"/>
          <w:iCs w:val="1"/>
          <w:color w:val="auto"/>
        </w:rPr>
        <w:t>Stockholder Rights</w:t>
      </w:r>
      <w:r>
        <w:rPr>
          <w:rFonts w:ascii="Arial" w:cs="Arial" w:eastAsia="Arial" w:hAnsi="Arial"/>
          <w:sz w:val="17"/>
          <w:szCs w:val="17"/>
          <w:color w:val="auto"/>
        </w:rPr>
        <w:t>. Unless otherwise determined by the Administrator, each Participant holding shares of Restricted Stock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entitled to all the rights of a stockholder with respect to such Shares, subject to the restrictions in the Plan and/or the applicable Award Agreement, including the right to receive all dividends and other distributions paid or made with respect to the Shares to the extent such dividends and other distributions have a record date that is on or after the date on which such Participant becomes the record holder of such Shares; provided, however, that with respect to a share of Restricted Stock subject to restrictions or vesting conditions as described in Section 8.3, except in connection with a spin-off or other similar event as otherwise permitted under Section 9.2, dividends which are paid to Company stockholders prior to the removal of restrictions and satisfaction of vesting conditions shall only be paid to the Participant to the extent that the restrictions are subsequently removed and the vesting conditions are subsequently satisfied and the share of Restricted Stock vests.</w:t>
      </w:r>
    </w:p>
    <w:p>
      <w:pPr>
        <w:spacing w:after="0" w:line="178" w:lineRule="exact"/>
        <w:rPr>
          <w:rFonts w:ascii="Arial" w:cs="Arial" w:eastAsia="Arial" w:hAnsi="Arial"/>
          <w:sz w:val="17"/>
          <w:szCs w:val="17"/>
          <w:color w:val="auto"/>
        </w:rPr>
      </w:pPr>
    </w:p>
    <w:p>
      <w:pPr>
        <w:ind w:right="300" w:firstLine="1329"/>
        <w:spacing w:after="0" w:line="277" w:lineRule="auto"/>
        <w:tabs>
          <w:tab w:leader="none" w:pos="1575"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Stock Certificates</w:t>
      </w:r>
      <w:r>
        <w:rPr>
          <w:rFonts w:ascii="Arial" w:cs="Arial" w:eastAsia="Arial" w:hAnsi="Arial"/>
          <w:sz w:val="18"/>
          <w:szCs w:val="18"/>
          <w:color w:val="auto"/>
        </w:rPr>
        <w:t>. The Company may require that the Participant deposit in escrow with the Company (or its designee) any stock</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certificates issued in respect of shares of Restricted Stock, together with a stock power endorsed in blank.</w:t>
      </w:r>
    </w:p>
    <w:p>
      <w:pPr>
        <w:spacing w:after="0" w:line="170" w:lineRule="exact"/>
        <w:rPr>
          <w:rFonts w:ascii="Arial" w:cs="Arial" w:eastAsia="Arial" w:hAnsi="Arial"/>
          <w:sz w:val="18"/>
          <w:szCs w:val="18"/>
          <w:color w:val="auto"/>
        </w:rPr>
      </w:pPr>
    </w:p>
    <w:p>
      <w:pPr>
        <w:ind w:right="100" w:firstLine="1329"/>
        <w:spacing w:after="0" w:line="259" w:lineRule="auto"/>
        <w:tabs>
          <w:tab w:leader="none" w:pos="1565"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Section 83(b) Election</w:t>
      </w:r>
      <w:r>
        <w:rPr>
          <w:rFonts w:ascii="Arial" w:cs="Arial" w:eastAsia="Arial" w:hAnsi="Arial"/>
          <w:sz w:val="18"/>
          <w:szCs w:val="18"/>
          <w:color w:val="auto"/>
        </w:rPr>
        <w:t>. If a Participant makes an election under Section 83(b) of the Code to be taxed with respect to the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as of the date of transfer of the Restricted Stock rather than as of the date or dates upon which such Participant would otherwise be taxable under Section 83(a) of the Code, such Participant shall be required to deliver a copy of such election to the Company promptly after filing such election with the Internal Revenue Service along with proof of the timely filing thereof.</w:t>
      </w:r>
    </w:p>
    <w:p>
      <w:pPr>
        <w:spacing w:after="0" w:line="187" w:lineRule="exact"/>
        <w:rPr>
          <w:sz w:val="20"/>
          <w:szCs w:val="20"/>
          <w:color w:val="auto"/>
        </w:rPr>
      </w:pPr>
    </w:p>
    <w:p>
      <w:pPr>
        <w:ind w:firstLine="586"/>
        <w:spacing w:after="0" w:line="263"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The Administrator may provide that settlement of Restricted Stock Units will occur upon or as soon as reasonably practicable after the Restricted Stock Units vest or will instead be deferred, on a mandatory basis or at the Participant’s election, subject to compliance with Applicable Law.</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TYPES OF AWARDS</w:t>
      </w:r>
    </w:p>
    <w:p>
      <w:pPr>
        <w:spacing w:after="0" w:line="211" w:lineRule="exact"/>
        <w:rPr>
          <w:sz w:val="20"/>
          <w:szCs w:val="20"/>
          <w:color w:val="auto"/>
        </w:rPr>
      </w:pPr>
    </w:p>
    <w:p>
      <w:pPr>
        <w:ind w:right="100" w:firstLine="586"/>
        <w:spacing w:after="0" w:line="263"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General</w:t>
      </w:r>
      <w:r>
        <w:rPr>
          <w:rFonts w:ascii="Arial" w:cs="Arial" w:eastAsia="Arial" w:hAnsi="Arial"/>
          <w:sz w:val="18"/>
          <w:szCs w:val="18"/>
          <w:color w:val="auto"/>
        </w:rPr>
        <w:t>. The Administrator may grant Performance Stock Units awards, Performance Bonus Awards, Dividend Equivalents or Other Stock or Cash Based Awards, to one or more Service Providers, in such amounts and subject to such terms and conditions not inconsistent with the Plan as the Administrator shall determine.</w:t>
      </w:r>
    </w:p>
    <w:p>
      <w:pPr>
        <w:spacing w:after="0" w:line="184" w:lineRule="exact"/>
        <w:rPr>
          <w:sz w:val="20"/>
          <w:szCs w:val="20"/>
          <w:color w:val="auto"/>
        </w:rPr>
      </w:pPr>
    </w:p>
    <w:p>
      <w:pPr>
        <w:ind w:right="20" w:firstLine="586"/>
        <w:spacing w:after="0" w:line="296"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Performance Stock Unit Awards</w:t>
      </w:r>
      <w:r>
        <w:rPr>
          <w:rFonts w:ascii="Arial" w:cs="Arial" w:eastAsia="Arial" w:hAnsi="Arial"/>
          <w:sz w:val="16"/>
          <w:szCs w:val="16"/>
          <w:color w:val="auto"/>
        </w:rPr>
        <w:t>. Each Performance Stock Units award shall be denominated in a number of Shares or in unit equivalents of Shares and/or units of value (including a dollar value of Shares) and may be linked to any one or more of performance or other specific criteria, including service to the Company or Subsidiaries, determined to be appropriate by the Administrator, in each case on a specified date or dates or over any period or periods determined by the Administrator. In making such determinations, the Administrator may consider (among such other factors as it deems relevant in light of the specific type of award) the contributions, responsibilities and other compensation of the particular Participant.</w:t>
      </w:r>
    </w:p>
    <w:p>
      <w:pPr>
        <w:spacing w:after="0" w:line="161" w:lineRule="exact"/>
        <w:rPr>
          <w:sz w:val="20"/>
          <w:szCs w:val="20"/>
          <w:color w:val="auto"/>
        </w:rPr>
      </w:pPr>
    </w:p>
    <w:p>
      <w:pPr>
        <w:jc w:val="both"/>
        <w:ind w:right="60" w:firstLine="586"/>
        <w:spacing w:after="0" w:line="311"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Performance Bonus Awards</w:t>
      </w:r>
      <w:r>
        <w:rPr>
          <w:rFonts w:ascii="Arial" w:cs="Arial" w:eastAsia="Arial" w:hAnsi="Arial"/>
          <w:sz w:val="16"/>
          <w:szCs w:val="16"/>
          <w:color w:val="auto"/>
        </w:rPr>
        <w:t>. Each right to receive a bonus granted under this Section 8.3 shall be denominated in the form of cash (but may be payable in cash, stock or a combination thereof) (a “</w:t>
      </w:r>
      <w:r>
        <w:rPr>
          <w:rFonts w:ascii="Arial" w:cs="Arial" w:eastAsia="Arial" w:hAnsi="Arial"/>
          <w:sz w:val="16"/>
          <w:szCs w:val="16"/>
          <w:b w:val="1"/>
          <w:bCs w:val="1"/>
          <w:i w:val="1"/>
          <w:iCs w:val="1"/>
          <w:color w:val="auto"/>
        </w:rPr>
        <w:t>Performance Bonus Award</w:t>
      </w:r>
      <w:r>
        <w:rPr>
          <w:rFonts w:ascii="Arial" w:cs="Arial" w:eastAsia="Arial" w:hAnsi="Arial"/>
          <w:sz w:val="16"/>
          <w:szCs w:val="16"/>
          <w:color w:val="auto"/>
        </w:rPr>
        <w:t>”) and shall be payable upon the attainment of performance goals that are established by the Administrator and relate to one or more of performance or other specific criteria, including service to the Company</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t>or Subsidiaries, in each case on a specified date or dates or over any period or periods determined by the Administrator.</w:t>
      </w:r>
    </w:p>
    <w:p>
      <w:pPr>
        <w:spacing w:after="0" w:line="225" w:lineRule="exact"/>
        <w:rPr>
          <w:sz w:val="20"/>
          <w:szCs w:val="20"/>
          <w:color w:val="auto"/>
        </w:rPr>
      </w:pPr>
    </w:p>
    <w:p>
      <w:pPr>
        <w:ind w:right="40" w:firstLine="586"/>
        <w:spacing w:after="0" w:line="254"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Dividend Equivalents</w:t>
      </w:r>
      <w:r>
        <w:rPr>
          <w:rFonts w:ascii="Arial" w:cs="Arial" w:eastAsia="Arial" w:hAnsi="Arial"/>
          <w:sz w:val="18"/>
          <w:szCs w:val="18"/>
          <w:color w:val="auto"/>
        </w:rPr>
        <w:t>. If the Administrator provides, an Award (other than an Option or Stock Appreciation Right) may provide a Participant with the right to receive Dividend Equivalents. Dividend Equivalents may be paid currently or credited to an account for the Participant, settled in cash or Shares and subject to the same restrictions on transferability and forfeitability as the Award with respect to which the Dividend Equivalents are granted and subject to other terms and conditions as set forth in the Award Agreement. Notwithstanding anything to the contrary herein, Dividend Equivalents with respect to an Award subject to vesting shall either (i) to the extent permitted by Applicable Law, not be paid or credited or (ii) be accumulated and subject to vesting to the same extent as the related Award. All such Dividend Equivalents shall be paid at such time as the Administrator shall specify in the applicable Award Agreement.</w:t>
      </w:r>
    </w:p>
    <w:p>
      <w:pPr>
        <w:spacing w:after="0" w:line="195" w:lineRule="exact"/>
        <w:rPr>
          <w:sz w:val="20"/>
          <w:szCs w:val="20"/>
          <w:color w:val="auto"/>
        </w:rPr>
      </w:pPr>
    </w:p>
    <w:p>
      <w:pPr>
        <w:ind w:right="40" w:firstLine="586"/>
        <w:spacing w:after="0" w:line="253"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Other Stock or Cash Based Awards</w:t>
      </w:r>
      <w:r>
        <w:rPr>
          <w:rFonts w:ascii="Arial" w:cs="Arial" w:eastAsia="Arial" w:hAnsi="Arial"/>
          <w:sz w:val="18"/>
          <w:szCs w:val="18"/>
          <w:color w:val="auto"/>
        </w:rPr>
        <w:t>. Other Stock or Cash Based Awards may be granted to Participants, including Awards entitling Participants to receive cash or Shares to be delivered in the future and annual or other periodic or long-term cash bonus awards (whether based on specified performance criteria or otherwise), in each case subject to any conditions and limitations in the Plan. Such Other Stock or Cash Based Awards will also be available as a payment form in the settlement of other Awards, as standalone payments and as payment in lieu of compensation to which a Participant is otherwise entitled. Other Stock or Cash Based Awards may be paid in Shares, cash or other property, as the Administrator determines. Subject to the provisions of the Plan, the Administrator will determine the terms and conditions of each Other Stock or Cash Based Award, including any purchase price, performance goal(s), transfer restrictions, and vesting conditions, which will be set forth in the applicable Award Agreement. Except in connection with a spin-off or other similar event as otherwise permitted under Article IX, dividends that are paid prior to vesting of any Other Stock or Cash Based Award shall only be paid to the applicable Participant to the extent that the vesting conditions are subsequently satisfied and the Other Stock or Cash Based Award vests.</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ADJUSTMENTS FOR CHANGES IN COMMON STOCK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CERTAIN OTHER EVENTS</w:t>
      </w:r>
    </w:p>
    <w:p>
      <w:pPr>
        <w:spacing w:after="0" w:line="211" w:lineRule="exact"/>
        <w:rPr>
          <w:sz w:val="20"/>
          <w:szCs w:val="20"/>
          <w:color w:val="auto"/>
        </w:rPr>
      </w:pPr>
    </w:p>
    <w:p>
      <w:pPr>
        <w:ind w:right="160" w:firstLine="586"/>
        <w:spacing w:after="0" w:line="286"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Equity Restructuring</w:t>
      </w:r>
      <w:r>
        <w:rPr>
          <w:rFonts w:ascii="Arial" w:cs="Arial" w:eastAsia="Arial" w:hAnsi="Arial"/>
          <w:sz w:val="16"/>
          <w:szCs w:val="16"/>
          <w:color w:val="auto"/>
        </w:rPr>
        <w:t>. In connection with any Equity Restructuring, notwithstanding anything to the contrary in this Article IX the Administrator will equitably adjust the terms of the Plan and each outstanding Award as it deems appropriate to reflect the Equity Restructuring, which may include (i) adjusting the number and type of securities subject to each outstanding Award and/or with respect to which Awards may be granted under the Plan (including, but not limited to, adjustments of the limitations in Article V hereof on the maximum number and kind of shares that may be issued);</w:t>
      </w:r>
    </w:p>
    <w:p>
      <w:pPr>
        <w:spacing w:after="0" w:line="1" w:lineRule="exact"/>
        <w:rPr>
          <w:sz w:val="20"/>
          <w:szCs w:val="20"/>
          <w:color w:val="auto"/>
        </w:rPr>
      </w:pPr>
    </w:p>
    <w:p>
      <w:pPr>
        <w:ind w:right="80" w:firstLine="8"/>
        <w:spacing w:after="0" w:line="253" w:lineRule="auto"/>
        <w:tabs>
          <w:tab w:leader="none" w:pos="26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adjusting the terms and conditions of (including the grant or exercise price), and the performance goals or other criteria included in, outstanding Awards; and (iii) granting new Awards or making cash payments to Participants. The adjustments provided under this Section 9.1 will be nondiscretionary and final and binding on all interested parties, including the affected Participant and the Company; provided that the Administrator will determine whether an adjustment is equitable.</w:t>
      </w:r>
    </w:p>
    <w:p>
      <w:pPr>
        <w:spacing w:after="0" w:line="193" w:lineRule="exact"/>
        <w:rPr>
          <w:sz w:val="20"/>
          <w:szCs w:val="20"/>
          <w:color w:val="auto"/>
        </w:rPr>
      </w:pPr>
    </w:p>
    <w:p>
      <w:pPr>
        <w:ind w:firstLine="586"/>
        <w:spacing w:after="0" w:line="288"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Corporate Transactions</w:t>
      </w:r>
      <w:r>
        <w:rPr>
          <w:rFonts w:ascii="Arial" w:cs="Arial" w:eastAsia="Arial" w:hAnsi="Arial"/>
          <w:sz w:val="16"/>
          <w:szCs w:val="16"/>
          <w:color w:val="auto"/>
        </w:rPr>
        <w:t>. In the event of any dividend or other distribution (whether in the form of cash, Common Stock, other securities, or other property), reorganization, merger, consolidation, split-up, spin off, combination, amalgamation, repurchase, recapitalization, liquidation, dissolution, or sale, transfer, exchange or other disposition of all or substantially all of the assets of the Company, or sale or exchange of Common Stock or other securities of the Company, Change in Control, issuance of warrants or other rights to purchase Common Stock or other securities of the Company, other similar corporate transaction or event, other unusual or nonrecurring transaction or event affecting the Company or its financial statements or any change in any Applicable Law or accounting principles, the Administrator, on such terms and conditions as it deems appropriate, either by the terms of the Award or by action taken prior to the occurrence of such transaction or event (except that action to give effect to a change in Applicable Law or accounting principles may be made within a reasonable period of time after such change) and either automatically or upon the Participant’s request, is hereby authorized to take any one or more of the following actions whenever the Administrator determines that such action is appropriate in order to (x) prevent dilution or enlargement of the benefits or potential benefits intended by the Company to be made available under the</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99" w:name="page100"/>
    <w:bookmarkEnd w:id="99"/>
    <w:p>
      <w:pPr>
        <w:spacing w:after="0"/>
        <w:rPr>
          <w:sz w:val="20"/>
          <w:szCs w:val="20"/>
          <w:color w:val="auto"/>
        </w:rPr>
      </w:pPr>
      <w:r>
        <w:rPr>
          <w:rFonts w:ascii="Arial" w:cs="Arial" w:eastAsia="Arial" w:hAnsi="Arial"/>
          <w:sz w:val="17"/>
          <w:szCs w:val="17"/>
          <w:color w:val="auto"/>
        </w:rPr>
        <w:t>Plan or with respect to any Award granted or issued under the Plan, (y) to facilitate such transaction or event or (z) give effect to such changes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Applicable Law or accounting principles:</w:t>
      </w:r>
    </w:p>
    <w:p>
      <w:pPr>
        <w:spacing w:after="0" w:line="211" w:lineRule="exact"/>
        <w:rPr>
          <w:sz w:val="20"/>
          <w:szCs w:val="20"/>
          <w:color w:val="auto"/>
        </w:rPr>
      </w:pPr>
    </w:p>
    <w:p>
      <w:pPr>
        <w:ind w:right="140" w:firstLine="1329"/>
        <w:spacing w:after="0" w:line="257" w:lineRule="auto"/>
        <w:tabs>
          <w:tab w:leader="none" w:pos="156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provide for the cancellation of any such Award in exchange for either an amount of cash and/or other property with a value equal to the amount that could have been obtained upon the exercise or settlement of the vested portion of such Award or realization of the Participant’s rights under the vested portion of such Award, as applicable; provided that, if the amount that could have been obtained upon the exercise or settlement of the vested portion of such Award or realization of the Participant’s rights, in any case, is equal to or less than zero, then the Award may be terminated without payment;</w:t>
      </w:r>
    </w:p>
    <w:p>
      <w:pPr>
        <w:spacing w:after="0" w:line="187" w:lineRule="exact"/>
        <w:rPr>
          <w:rFonts w:ascii="Arial" w:cs="Arial" w:eastAsia="Arial" w:hAnsi="Arial"/>
          <w:sz w:val="18"/>
          <w:szCs w:val="18"/>
          <w:color w:val="auto"/>
        </w:rPr>
      </w:pPr>
    </w:p>
    <w:p>
      <w:pPr>
        <w:ind w:right="20" w:firstLine="1329"/>
        <w:spacing w:after="0" w:line="277" w:lineRule="auto"/>
        <w:tabs>
          <w:tab w:leader="none" w:pos="157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provide that such Award shall vest and, to the extent applicable, be exercisable as to all Shares (or other property) covered thereby, notwithstanding anything to the contrary in the Plan or the provisions of such Award;</w:t>
      </w:r>
    </w:p>
    <w:p>
      <w:pPr>
        <w:spacing w:after="0" w:line="170" w:lineRule="exact"/>
        <w:rPr>
          <w:rFonts w:ascii="Arial" w:cs="Arial" w:eastAsia="Arial" w:hAnsi="Arial"/>
          <w:sz w:val="18"/>
          <w:szCs w:val="18"/>
          <w:color w:val="auto"/>
        </w:rPr>
      </w:pPr>
    </w:p>
    <w:p>
      <w:pPr>
        <w:ind w:right="200" w:firstLine="1329"/>
        <w:spacing w:after="0" w:line="311" w:lineRule="auto"/>
        <w:tabs>
          <w:tab w:leader="none" w:pos="1565" w:val="left"/>
        </w:tabs>
        <w:numPr>
          <w:ilvl w:val="0"/>
          <w:numId w:val="50"/>
        </w:numPr>
        <w:rPr>
          <w:rFonts w:ascii="Arial" w:cs="Arial" w:eastAsia="Arial" w:hAnsi="Arial"/>
          <w:sz w:val="16"/>
          <w:szCs w:val="16"/>
          <w:color w:val="auto"/>
        </w:rPr>
      </w:pPr>
      <w:r>
        <w:rPr>
          <w:rFonts w:ascii="Arial" w:cs="Arial" w:eastAsia="Arial" w:hAnsi="Arial"/>
          <w:sz w:val="16"/>
          <w:szCs w:val="16"/>
          <w:color w:val="auto"/>
        </w:rPr>
        <w:t>To provide that such Award be assumed by the successor or survivor corporation or entity, or a parent or subsidiary thereof, or shall be substituted for by awards covering the stock of the successor or survivor corporation or entity, or a parent or subsidiary thereof, with appropriate adjustments as to the number and kind of shares and/or applicable exercise or purchase price, in all cases, as determined by the Administrator;</w:t>
      </w:r>
    </w:p>
    <w:p>
      <w:pPr>
        <w:spacing w:after="0" w:line="148" w:lineRule="exact"/>
        <w:rPr>
          <w:rFonts w:ascii="Arial" w:cs="Arial" w:eastAsia="Arial" w:hAnsi="Arial"/>
          <w:sz w:val="16"/>
          <w:szCs w:val="16"/>
          <w:color w:val="auto"/>
        </w:rPr>
      </w:pPr>
    </w:p>
    <w:p>
      <w:pPr>
        <w:ind w:right="20" w:firstLine="1329"/>
        <w:spacing w:after="0" w:line="259" w:lineRule="auto"/>
        <w:tabs>
          <w:tab w:leader="none" w:pos="157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make adjustments in the number and type of shares of Common Stock (or other securities or property) subject to outstanding Awards and/or with respect to which Awards may be granted under the Plan (including, but not limited to, adjustments of the limitations in Article V hereof on the maximum number and kind of shares which may be issued) and/or in the terms and conditions of (including the grant or exercise price), and the criteria included in, outstanding Awards;</w:t>
      </w:r>
    </w:p>
    <w:p>
      <w:pPr>
        <w:spacing w:after="0" w:line="186" w:lineRule="exact"/>
        <w:rPr>
          <w:rFonts w:ascii="Arial" w:cs="Arial" w:eastAsia="Arial" w:hAnsi="Arial"/>
          <w:sz w:val="18"/>
          <w:szCs w:val="18"/>
          <w:color w:val="auto"/>
        </w:rPr>
      </w:pPr>
    </w:p>
    <w:p>
      <w:pPr>
        <w:ind w:left="1580" w:hanging="251"/>
        <w:spacing w:after="0"/>
        <w:tabs>
          <w:tab w:leader="none" w:pos="1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replace such Award with other rights or property selected by the Administrator; and/or</w:t>
      </w:r>
    </w:p>
    <w:p>
      <w:pPr>
        <w:spacing w:after="0" w:line="225" w:lineRule="exact"/>
        <w:rPr>
          <w:rFonts w:ascii="Arial" w:cs="Arial" w:eastAsia="Arial" w:hAnsi="Arial"/>
          <w:sz w:val="18"/>
          <w:szCs w:val="18"/>
          <w:color w:val="auto"/>
        </w:rPr>
      </w:pPr>
    </w:p>
    <w:p>
      <w:pPr>
        <w:ind w:left="1560" w:hanging="231"/>
        <w:spacing w:after="0"/>
        <w:tabs>
          <w:tab w:leader="none" w:pos="15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provide that the Award will terminate and cannot vest, be exercised or become payable after the applicable event.</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Change in Control</w:t>
      </w:r>
      <w:r>
        <w:rPr>
          <w:rFonts w:ascii="Arial" w:cs="Arial" w:eastAsia="Arial" w:hAnsi="Arial"/>
          <w:sz w:val="18"/>
          <w:szCs w:val="18"/>
          <w:color w:val="auto"/>
        </w:rPr>
        <w:t>.</w:t>
      </w:r>
    </w:p>
    <w:p>
      <w:pPr>
        <w:spacing w:after="0" w:line="225" w:lineRule="exact"/>
        <w:rPr>
          <w:sz w:val="20"/>
          <w:szCs w:val="20"/>
          <w:color w:val="auto"/>
        </w:rPr>
      </w:pPr>
    </w:p>
    <w:p>
      <w:pPr>
        <w:ind w:firstLine="1329"/>
        <w:spacing w:after="0" w:line="273" w:lineRule="auto"/>
        <w:tabs>
          <w:tab w:leader="none" w:pos="1565" w:val="left"/>
        </w:tabs>
        <w:numPr>
          <w:ilvl w:val="0"/>
          <w:numId w:val="51"/>
        </w:numPr>
        <w:rPr>
          <w:rFonts w:ascii="Arial" w:cs="Arial" w:eastAsia="Arial" w:hAnsi="Arial"/>
          <w:sz w:val="17"/>
          <w:szCs w:val="17"/>
          <w:color w:val="auto"/>
        </w:rPr>
      </w:pPr>
      <w:r>
        <w:rPr>
          <w:rFonts w:ascii="Arial" w:cs="Arial" w:eastAsia="Arial" w:hAnsi="Arial"/>
          <w:sz w:val="17"/>
          <w:szCs w:val="17"/>
          <w:color w:val="auto"/>
        </w:rPr>
        <w:t>Notwithstanding any other provision of the Plan, in the event of a Change in Control, unless the Administrator elects to (i) terminate an Award in exchange for cash, rights or property, or (ii) cause an Award to become fully exercisable and no longer subject to any forfeiture restrictions prior to the consummation of a Change in Control, pursuant to Section 9.2, (A) such Award (other than any portion subject to performance-based vesting) shall continue in effect or be assumed or an equivalent Award substituted by the successor corporation or a parent or subsidiary of the successor corporation and (B) the portion of such Award subject to performance-based vesting shall be subject to the terms and conditions of the applicable Award Agreement and, in the absence of applicable terms and conditions, the Administrator’s discretion.</w:t>
      </w:r>
    </w:p>
    <w:p>
      <w:pPr>
        <w:spacing w:after="0" w:line="177" w:lineRule="exact"/>
        <w:rPr>
          <w:rFonts w:ascii="Arial" w:cs="Arial" w:eastAsia="Arial" w:hAnsi="Arial"/>
          <w:sz w:val="17"/>
          <w:szCs w:val="17"/>
          <w:color w:val="auto"/>
        </w:rPr>
      </w:pPr>
    </w:p>
    <w:p>
      <w:pPr>
        <w:ind w:firstLine="1329"/>
        <w:spacing w:after="0" w:line="254" w:lineRule="auto"/>
        <w:tabs>
          <w:tab w:leader="none" w:pos="1575"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the event that the successor corporation in a Change in Control refuses to assume or substitute for an Award (other than any portion subject to performance-based vesting), the Administrator shall cause such Award to become fully vested and, if applicable, exercisable immediately prior to the consummation of such transaction and all forfeiture restrictions on such Award to lapse and, to the extent unexercised upon the consummation of such transaction, to terminate in exchange for cash, rights or other property. The Administrator shall notify the Participant of any Award that becomes exercisable pursuant to the preceding sentence that such Award shall be fully exercisable for a period of fifteen (15) days from the date of such notice, contingent upon the occurrence of the Change in Control, and such Award shall terminate upon the consummation of the Change in Control in accordance with the preceding sentence.</w:t>
      </w:r>
    </w:p>
    <w:p>
      <w:pPr>
        <w:spacing w:after="0" w:line="194" w:lineRule="exact"/>
        <w:rPr>
          <w:rFonts w:ascii="Arial" w:cs="Arial" w:eastAsia="Arial" w:hAnsi="Arial"/>
          <w:sz w:val="18"/>
          <w:szCs w:val="18"/>
          <w:color w:val="auto"/>
        </w:rPr>
      </w:pPr>
    </w:p>
    <w:p>
      <w:pPr>
        <w:ind w:right="100" w:firstLine="1329"/>
        <w:spacing w:after="0" w:line="311" w:lineRule="auto"/>
        <w:tabs>
          <w:tab w:leader="none" w:pos="1565" w:val="left"/>
        </w:tabs>
        <w:numPr>
          <w:ilvl w:val="0"/>
          <w:numId w:val="51"/>
        </w:numPr>
        <w:rPr>
          <w:rFonts w:ascii="Arial" w:cs="Arial" w:eastAsia="Arial" w:hAnsi="Arial"/>
          <w:sz w:val="16"/>
          <w:szCs w:val="16"/>
          <w:color w:val="auto"/>
        </w:rPr>
      </w:pPr>
      <w:r>
        <w:rPr>
          <w:rFonts w:ascii="Arial" w:cs="Arial" w:eastAsia="Arial" w:hAnsi="Arial"/>
          <w:sz w:val="16"/>
          <w:szCs w:val="16"/>
          <w:color w:val="auto"/>
        </w:rPr>
        <w:t>For the purposes of this Section 9.3, an Award shall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0" w:name="page101"/>
    <w:bookmarkEnd w:id="100"/>
    <w:p>
      <w:pPr>
        <w:ind w:right="40"/>
        <w:spacing w:after="0" w:line="257" w:lineRule="auto"/>
        <w:rPr>
          <w:sz w:val="20"/>
          <w:szCs w:val="20"/>
          <w:color w:val="auto"/>
        </w:rPr>
      </w:pPr>
      <w:r>
        <w:rPr>
          <w:rFonts w:ascii="Arial" w:cs="Arial" w:eastAsia="Arial" w:hAnsi="Arial"/>
          <w:sz w:val="18"/>
          <w:szCs w:val="18"/>
          <w:color w:val="auto"/>
        </w:rPr>
        <w:t xml:space="preserve">transaction (and if holders were offered a choice of consideration, the type of consideration chosen by the holders of a majority of the outstanding Shares);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such consideration received in the Change in Control was not solely common stock of the successor corporation or its parent, the Administrator may, with the consent of the successor corporation, provide for the consideration to be received upon the exercise of the Award, for each Share subject to an Award, to be solely common stock of the successor corporation or its parent equal in fair market value to the per-share consideration received by holders of Common Stock in the Change in Control.</w:t>
      </w:r>
    </w:p>
    <w:p>
      <w:pPr>
        <w:spacing w:after="0" w:line="188" w:lineRule="exact"/>
        <w:rPr>
          <w:sz w:val="20"/>
          <w:szCs w:val="20"/>
          <w:color w:val="auto"/>
        </w:rPr>
      </w:pPr>
    </w:p>
    <w:p>
      <w:pPr>
        <w:ind w:right="60" w:firstLine="586"/>
        <w:spacing w:after="0" w:line="296"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Administrative Stand Still</w:t>
      </w:r>
      <w:r>
        <w:rPr>
          <w:rFonts w:ascii="Arial" w:cs="Arial" w:eastAsia="Arial" w:hAnsi="Arial"/>
          <w:sz w:val="16"/>
          <w:szCs w:val="16"/>
          <w:color w:val="auto"/>
        </w:rPr>
        <w:t>.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of Common Stock (including any Equity Restructuring or any securities offering or other similar transaction) or for reasons of administrative convenience or to facilitate compliance with any Applicable Law, the Company may refuse to permit the exercise or settlement of one or more Awards for such period of time as the Company may determine to be reasonably appropriate under the circumstances.</w:t>
      </w:r>
    </w:p>
    <w:p>
      <w:pPr>
        <w:spacing w:after="0" w:line="161" w:lineRule="exact"/>
        <w:rPr>
          <w:sz w:val="20"/>
          <w:szCs w:val="20"/>
          <w:color w:val="auto"/>
        </w:rPr>
      </w:pPr>
    </w:p>
    <w:p>
      <w:pPr>
        <w:ind w:firstLine="586"/>
        <w:spacing w:after="0" w:line="284"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u w:val="single" w:color="auto"/>
          <w:color w:val="auto"/>
        </w:rPr>
        <w:t>General</w:t>
      </w:r>
      <w:r>
        <w:rPr>
          <w:rFonts w:ascii="Arial" w:cs="Arial" w:eastAsia="Arial" w:hAnsi="Arial"/>
          <w:sz w:val="16"/>
          <w:szCs w:val="16"/>
          <w:color w:val="auto"/>
        </w:rPr>
        <w:t>. Except as expressly provided in the Plan or the Administrator’s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 9.1 above or the Administrator’s action under the Plan, no issuance by the Company of Shares of any class, or securities convertible into Shares of any class, will affect, and no adjustment will be made regarding, the number of Shares subject to an Award or the Award’s grant or exercise price. The existence of the Plan, any Award Agreements and the Awards granted hereunder will not affect or restrict in any way the Company’s right or power to make or authorize</w:t>
      </w:r>
    </w:p>
    <w:p>
      <w:pPr>
        <w:spacing w:after="0" w:line="4" w:lineRule="exact"/>
        <w:rPr>
          <w:sz w:val="20"/>
          <w:szCs w:val="20"/>
          <w:color w:val="auto"/>
        </w:rPr>
      </w:pPr>
    </w:p>
    <w:p>
      <w:pPr>
        <w:ind w:right="480" w:firstLine="8"/>
        <w:spacing w:after="0" w:line="255" w:lineRule="auto"/>
        <w:tabs>
          <w:tab w:leader="none" w:pos="21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adjustment, recapitalization, reorganization or other change in the Company’s capital structure or its business, (ii) any merger, consolidation, spinoff, dissolution or liquidation of the Company or sale of Company assets or (iii) any sale or issuance of securities, including securities with rights superior to those of the Shares or securities convertible into or exchangeable for Shares.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PROVISIONS APPLICABLE TO AWARDS</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Transferability</w:t>
      </w:r>
      <w:r>
        <w:rPr>
          <w:rFonts w:ascii="Arial" w:cs="Arial" w:eastAsia="Arial" w:hAnsi="Arial"/>
          <w:sz w:val="18"/>
          <w:szCs w:val="18"/>
          <w:color w:val="auto"/>
        </w:rPr>
        <w:t>.</w:t>
      </w:r>
    </w:p>
    <w:p>
      <w:pPr>
        <w:spacing w:after="0" w:line="225" w:lineRule="exact"/>
        <w:rPr>
          <w:sz w:val="20"/>
          <w:szCs w:val="20"/>
          <w:color w:val="auto"/>
        </w:rPr>
      </w:pPr>
    </w:p>
    <w:p>
      <w:pPr>
        <w:ind w:right="40" w:firstLine="1329"/>
        <w:spacing w:after="0" w:line="271" w:lineRule="auto"/>
        <w:tabs>
          <w:tab w:leader="none" w:pos="1565" w:val="left"/>
        </w:tabs>
        <w:numPr>
          <w:ilvl w:val="0"/>
          <w:numId w:val="53"/>
        </w:numPr>
        <w:rPr>
          <w:rFonts w:ascii="Arial" w:cs="Arial" w:eastAsia="Arial" w:hAnsi="Arial"/>
          <w:sz w:val="17"/>
          <w:szCs w:val="17"/>
          <w:color w:val="auto"/>
        </w:rPr>
      </w:pPr>
      <w:r>
        <w:rPr>
          <w:rFonts w:ascii="Arial" w:cs="Arial" w:eastAsia="Arial" w:hAnsi="Arial"/>
          <w:sz w:val="17"/>
          <w:szCs w:val="17"/>
          <w:color w:val="auto"/>
        </w:rPr>
        <w:t>No Award may be sold, assigned, transferred, pledged or otherwise encumbered, either voluntarily or by operation of law, except by will or the laws of descent and distribution, or, subject to the Administrator’s consent, pursuant to a domestic relations order, unless and until such Award has been exercised and/or the Shares underlying such Award have been issued, and all restrictions applicable to such Shares have lapsed. During the life of a Participant, Awards will be exercisable only by the Participant, unless it has been disposed of pursuant to a domestic relations order. After the death of a Participant, any exercisable portion of an Award may, prior to the time when such portion becomes unexercisable under the Plan or the applicable Award Agreement, be exercised by the Participant’s personal representative or by any person empowered to do so under the deceased Participant’s will or under the then-Applicable Law of descent and distribution. References to a Participant, to the extent relevant in the context, will include references to a transferee approved by the Administrator.</w:t>
      </w:r>
    </w:p>
    <w:p>
      <w:pPr>
        <w:spacing w:after="0" w:line="178" w:lineRule="exact"/>
        <w:rPr>
          <w:rFonts w:ascii="Arial" w:cs="Arial" w:eastAsia="Arial" w:hAnsi="Arial"/>
          <w:sz w:val="17"/>
          <w:szCs w:val="17"/>
          <w:color w:val="auto"/>
        </w:rPr>
      </w:pPr>
    </w:p>
    <w:p>
      <w:pPr>
        <w:ind w:right="80" w:firstLine="1329"/>
        <w:spacing w:after="0" w:line="253" w:lineRule="auto"/>
        <w:tabs>
          <w:tab w:leader="none" w:pos="1575"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Notwithstanding Section 10.1(a), the Administrator, in its sole discretion, may determine to permit a Participant or a Permitted Transferee of such Participant to transfer an Award other than an Incentive Stock Option (unless such Incentive Stock Option is intended to become a Nonqualified Stock Option) to any one or more Permitted Transferees of such Participant, subject to the following terms and conditions: (i) an Award transferred to a Permitted Transferee shall not be assignable or transferable by the Permitted Transferee other than (A) to another Permitted Transferee of the applicable Participant or (B) by will or the laws of descent and distribution or, subject to the consent of the Administrator, pursuant to a domestic relations order; (ii) an Award transferred to a Permitted Transferee shall continue to be subject to all the terms and conditions of the Award as applicable to the original Participant (other than the ability to further transfer the Award to any Person other than another Permitted Transferee of the applicable Participant); (iii) the Participant (or transferring Permitted Transferee) and the receiving Permitted Transferee shall execute any and all documents requested by the Administrator, including, without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1" w:name="page102"/>
    <w:bookmarkEnd w:id="101"/>
    <w:p>
      <w:pPr>
        <w:spacing w:after="0" w:line="275" w:lineRule="auto"/>
        <w:rPr>
          <w:sz w:val="20"/>
          <w:szCs w:val="20"/>
          <w:color w:val="auto"/>
        </w:rPr>
      </w:pPr>
      <w:r>
        <w:rPr>
          <w:rFonts w:ascii="Arial" w:cs="Arial" w:eastAsia="Arial" w:hAnsi="Arial"/>
          <w:sz w:val="17"/>
          <w:szCs w:val="17"/>
          <w:color w:val="auto"/>
        </w:rPr>
        <w:t>limitation documents to (A) confirm the status of the transferee as a Permitted Transferee, (B) satisfy any requirements for an exemption for the transfer under Applicable Law and (C) evidence the transfer; and (iv) any transfer of an Award to a Permitted Transferee shall be without consideration, except as required by Applicable Law. In addition, and further notwithstanding Section 10.1(a), the Administrator, in its sole discretion, may determine to permit a Participant to transfer Incentive Stock Options to a trust that constitutes a Permitted Transferee if, under Section 671 of the Code and other Applicable Law, the Participant is considered the sole beneficial owner of the Incentive Stock Option while it is held in the trust.</w:t>
      </w:r>
    </w:p>
    <w:p>
      <w:pPr>
        <w:spacing w:after="0" w:line="176" w:lineRule="exact"/>
        <w:rPr>
          <w:sz w:val="20"/>
          <w:szCs w:val="20"/>
          <w:color w:val="auto"/>
        </w:rPr>
      </w:pPr>
    </w:p>
    <w:p>
      <w:pPr>
        <w:ind w:right="160" w:firstLine="1329"/>
        <w:spacing w:after="0" w:line="290" w:lineRule="auto"/>
        <w:tabs>
          <w:tab w:leader="none" w:pos="1565"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Notwithstanding Section 10.1(a), a Participant may, in the manner determined by the Administrator, designate a Designated Beneficiary. A Designated Beneficiary, legal guardian, legal representative, or other person claiming any rights pursuant to the Plan is subject to all terms and conditions of the Plan and any Award Agreement applicable to the Participant and any additional restrictions deemed necessary or appropriate by the Administrator. If the Participant is married or a domestic partner in a domestic partnership qualified under Applicable Law and resides in a community property state, a designation of a person other than the Participant’s spouse or domestic partner, as applicable, as the Participant’s Designated Beneficiary with respect to more than 50% of the Participant’s interest in the Award shall not be effective without the prior written or electronic consent of the Participant’s spouse or domestic partner. Subject to the foregoing, a beneficiary designation may be changed or revoked by a Participant at any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change or revocation is delivered in writing to the Administrator prior to the Participant’s death.</w:t>
      </w:r>
    </w:p>
    <w:p>
      <w:pPr>
        <w:spacing w:after="0" w:line="165" w:lineRule="exact"/>
        <w:rPr>
          <w:sz w:val="20"/>
          <w:szCs w:val="20"/>
          <w:color w:val="auto"/>
        </w:rPr>
      </w:pPr>
    </w:p>
    <w:p>
      <w:pPr>
        <w:ind w:right="200" w:firstLine="586"/>
        <w:spacing w:after="0" w:line="263"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Documentation</w:t>
      </w:r>
      <w:r>
        <w:rPr>
          <w:rFonts w:ascii="Arial" w:cs="Arial" w:eastAsia="Arial" w:hAnsi="Arial"/>
          <w:sz w:val="18"/>
          <w:szCs w:val="18"/>
          <w:color w:val="auto"/>
        </w:rPr>
        <w:t>. Each Award will be evidenced in an Award Agreement in such form as the Administrator determines in its discretion. Each Award may contain such terms and conditions as are determined by the Administrator in its sole discretion, to the extent not inconsistent with those set forth in the Plan.</w:t>
      </w:r>
    </w:p>
    <w:p>
      <w:pPr>
        <w:spacing w:after="0" w:line="184" w:lineRule="exact"/>
        <w:rPr>
          <w:sz w:val="20"/>
          <w:szCs w:val="20"/>
          <w:color w:val="auto"/>
        </w:rPr>
      </w:pPr>
    </w:p>
    <w:p>
      <w:pPr>
        <w:ind w:right="100" w:firstLine="586"/>
        <w:spacing w:after="0" w:line="342"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u w:val="single" w:color="auto"/>
          <w:color w:val="auto"/>
        </w:rPr>
        <w:t>Discretion</w:t>
      </w:r>
      <w:r>
        <w:rPr>
          <w:rFonts w:ascii="Arial" w:cs="Arial" w:eastAsia="Arial" w:hAnsi="Arial"/>
          <w:sz w:val="16"/>
          <w:szCs w:val="16"/>
          <w:color w:val="auto"/>
        </w:rPr>
        <w:t>. Except as the Plan otherwise provides, each Award may be made alone or in addition or in relation to any other Award. The terms of each Award to a Participant need not be identical, and the Administrator need not treat Participants or Awards (or portions thereof) uniformly.</w:t>
      </w:r>
    </w:p>
    <w:p>
      <w:pPr>
        <w:spacing w:after="0" w:line="124" w:lineRule="exact"/>
        <w:rPr>
          <w:sz w:val="20"/>
          <w:szCs w:val="20"/>
          <w:color w:val="auto"/>
        </w:rPr>
      </w:pPr>
    </w:p>
    <w:p>
      <w:pPr>
        <w:ind w:right="300" w:firstLine="586"/>
        <w:spacing w:after="0" w:line="275" w:lineRule="auto"/>
        <w:rPr>
          <w:sz w:val="20"/>
          <w:szCs w:val="20"/>
          <w:color w:val="auto"/>
        </w:rPr>
      </w:pPr>
      <w:r>
        <w:rPr>
          <w:rFonts w:ascii="Arial" w:cs="Arial" w:eastAsia="Arial" w:hAnsi="Arial"/>
          <w:sz w:val="17"/>
          <w:szCs w:val="17"/>
          <w:color w:val="auto"/>
        </w:rPr>
        <w:t xml:space="preserve">10.4 </w:t>
      </w:r>
      <w:r>
        <w:rPr>
          <w:rFonts w:ascii="Arial" w:cs="Arial" w:eastAsia="Arial" w:hAnsi="Arial"/>
          <w:sz w:val="17"/>
          <w:szCs w:val="17"/>
          <w:u w:val="single" w:color="auto"/>
          <w:color w:val="auto"/>
        </w:rPr>
        <w:t>Changes in Participant’s Status</w:t>
      </w:r>
      <w:r>
        <w:rPr>
          <w:rFonts w:ascii="Arial" w:cs="Arial" w:eastAsia="Arial" w:hAnsi="Arial"/>
          <w:sz w:val="17"/>
          <w:szCs w:val="17"/>
          <w:color w:val="auto"/>
        </w:rPr>
        <w:t>. The Administrator will determine how the disability, death, retirement, authorized leave of absence or any other change or purported change in a Participant’s Service Provider status affects an Award and the extent to which, and the period during which, the Participant, the Participant’s legal representative, conservator, guardian or Designated Beneficiary may exercise rights under the Award, if applicable. Except to the extent otherwise required by law or expressly authorized by the Company or by the Company’s written policy on leaves of absence, no Service credit shall be given for vesting purposes for any period the Participant is on a leave of absence.</w:t>
      </w:r>
    </w:p>
    <w:p>
      <w:pPr>
        <w:spacing w:after="0" w:line="176" w:lineRule="exact"/>
        <w:rPr>
          <w:sz w:val="20"/>
          <w:szCs w:val="20"/>
          <w:color w:val="auto"/>
        </w:rPr>
      </w:pPr>
    </w:p>
    <w:p>
      <w:pPr>
        <w:ind w:right="100" w:firstLine="586"/>
        <w:spacing w:after="0" w:line="283"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u w:val="single" w:color="auto"/>
          <w:color w:val="auto"/>
        </w:rPr>
        <w:t>Withholding</w:t>
      </w:r>
      <w:r>
        <w:rPr>
          <w:rFonts w:ascii="Arial" w:cs="Arial" w:eastAsia="Arial" w:hAnsi="Arial"/>
          <w:sz w:val="16"/>
          <w:szCs w:val="16"/>
          <w:color w:val="auto"/>
        </w:rPr>
        <w:t>. Each Participant must pay the Company, or make provision satisfactory to the Administrator for payment of, any taxes required by law to be withheld in connection with such Participant’s Awards by the date of the event creating the tax liability. The Company may deduct an amount sufficient to satisfy such tax obligations from any payment of any kind otherwise due to a Participant. The amount deducted shall be determined by the Company and may be up to, but no greater than, the aggregate amount of such obligations based on the maximum statutory withholding rates in the applicable Participant’s jurisdiction for federal, state, local and foreign income tax and payroll tax purposes that are applicable to such taxable income. Subject to any Company insider trading policy (including blackout periods), Participants may satisfy such tax obligations (i) in cash, by wire transfer of immediately available funds, by check made payable to the order of the Company; provided that the Company may limit the use of one of the foregoing methods if one or more of the exercise methods below is permitted, (ii) to the extent permitted by the Administrator, in whole or in part by delivery of Shares, including Shares delivered by attestation and Shares retained from the Award creating the tax obligation, valued at their Fair Market Value on the date of delivery, (iii) if there is a public market for Shares at the time the tax obligations are satisfied, unless the Administrator otherwise determines,</w:t>
      </w:r>
    </w:p>
    <w:p>
      <w:pPr>
        <w:spacing w:after="0" w:line="5" w:lineRule="exact"/>
        <w:rPr>
          <w:sz w:val="20"/>
          <w:szCs w:val="20"/>
          <w:color w:val="auto"/>
        </w:rPr>
      </w:pPr>
    </w:p>
    <w:p>
      <w:pPr>
        <w:ind w:right="240" w:firstLine="8"/>
        <w:spacing w:after="0" w:line="292" w:lineRule="auto"/>
        <w:tabs>
          <w:tab w:leader="none" w:pos="295" w:val="left"/>
        </w:tabs>
        <w:numPr>
          <w:ilvl w:val="0"/>
          <w:numId w:val="55"/>
        </w:numPr>
        <w:rPr>
          <w:rFonts w:ascii="Arial" w:cs="Arial" w:eastAsia="Arial" w:hAnsi="Arial"/>
          <w:sz w:val="16"/>
          <w:szCs w:val="16"/>
          <w:color w:val="auto"/>
        </w:rPr>
      </w:pPr>
      <w:r>
        <w:rPr>
          <w:rFonts w:ascii="Arial" w:cs="Arial" w:eastAsia="Arial" w:hAnsi="Arial"/>
          <w:sz w:val="16"/>
          <w:szCs w:val="16"/>
          <w:color w:val="auto"/>
        </w:rPr>
        <w:t>delivery (including electronically or telephonically to the extent permitted by the Company) of a notice that the Participant has placed a market sell order with a broker acceptable to the Company with respect to Shares then issuable upon exercise of the Option and that the broker has been directed to deliver promptly to the Company funds sufficient to satisfy the tax obligations, or (B) the Participant’s delivery to the Company of a copy of irrevocable and unconditional instructions to a broker acceptable to the Company to deliver promptly to the Company an amount sufficient to satisfy the tax withholding by cash, wire transfer of immediately available funds or check; provided that such amount is paid to the Company at such</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02" w:name="page103"/>
    <w:bookmarkEnd w:id="102"/>
    <w:p>
      <w:pPr>
        <w:ind w:right="80"/>
        <w:spacing w:after="0" w:line="291" w:lineRule="auto"/>
        <w:rPr>
          <w:sz w:val="20"/>
          <w:szCs w:val="20"/>
          <w:color w:val="auto"/>
        </w:rPr>
      </w:pPr>
      <w:r>
        <w:rPr>
          <w:rFonts w:ascii="Arial" w:cs="Arial" w:eastAsia="Arial" w:hAnsi="Arial"/>
          <w:sz w:val="16"/>
          <w:szCs w:val="16"/>
          <w:color w:val="auto"/>
        </w:rPr>
        <w:t>time as may be required by the Company, (iv) to the extent permitted by the Administrator, delivery of a promissory note or any other lawful consideration or (v) to the extent permitted by the Administrator, any combination of the foregoing payment forms. If any tax withholding obligation will be satisfied under clause (ii) of the immediately preceding sentence by the Company’s retention of Shares from the Award creating the tax obligation and there is a public market for Shares at the time the tax obligation is satisfied, the Company may elect to instruct any brokerage firm determined acceptable to the Company for such purpose to sell on the applicable Participant’s behalf some or all of the Shares retained and to remit the proceeds of the sale to the Company or its designee, and each Participant’s acceptance of an Award under the Plan will constitute the Participant’s authorization to the Company and instruction and authorization to such brokerage firm to complete the transactions described in this sentence.</w:t>
      </w:r>
    </w:p>
    <w:p>
      <w:pPr>
        <w:spacing w:after="0" w:line="166" w:lineRule="exact"/>
        <w:rPr>
          <w:sz w:val="20"/>
          <w:szCs w:val="20"/>
          <w:color w:val="auto"/>
        </w:rPr>
      </w:pPr>
    </w:p>
    <w:p>
      <w:pPr>
        <w:ind w:right="140" w:firstLine="586"/>
        <w:spacing w:after="0" w:line="293" w:lineRule="auto"/>
        <w:rPr>
          <w:sz w:val="20"/>
          <w:szCs w:val="20"/>
          <w:color w:val="auto"/>
        </w:rPr>
      </w:pPr>
      <w:r>
        <w:rPr>
          <w:rFonts w:ascii="Arial" w:cs="Arial" w:eastAsia="Arial" w:hAnsi="Arial"/>
          <w:sz w:val="16"/>
          <w:szCs w:val="16"/>
          <w:color w:val="auto"/>
        </w:rPr>
        <w:t xml:space="preserve">10.6 </w:t>
      </w:r>
      <w:r>
        <w:rPr>
          <w:rFonts w:ascii="Arial" w:cs="Arial" w:eastAsia="Arial" w:hAnsi="Arial"/>
          <w:sz w:val="16"/>
          <w:szCs w:val="16"/>
          <w:u w:val="single" w:color="auto"/>
          <w:color w:val="auto"/>
        </w:rPr>
        <w:t>Amendment of Award; Repricing</w:t>
      </w:r>
      <w:r>
        <w:rPr>
          <w:rFonts w:ascii="Arial" w:cs="Arial" w:eastAsia="Arial" w:hAnsi="Arial"/>
          <w:sz w:val="16"/>
          <w:szCs w:val="16"/>
          <w:color w:val="auto"/>
        </w:rPr>
        <w:t>. The Administrator may amend, modify or terminate any outstanding Award, including by substituting another Award of the same or a different type, changing the exercise or settlement date, and converting an Incentive Stock Option to a Nonqualified Stock Option. The Participant’s consent to such action will be required unless (i) the action, taking into account any related action, does not materially and adversely affect the Participant’s rights under the Award, or (ii) the change is permitted under Article IX or pursuant to Section 11.6. In addition, the Administrator shall, without the approval of the stockholders of the Company, have the authority to (a) amend any outstanding Option or Stock Appreciation Right to reduce its exercise price per Share, or (b) cancel any Option or Stock Appreciation Right in exchange for cash or another Award.</w:t>
      </w:r>
    </w:p>
    <w:p>
      <w:pPr>
        <w:spacing w:after="0" w:line="164" w:lineRule="exact"/>
        <w:rPr>
          <w:sz w:val="20"/>
          <w:szCs w:val="20"/>
          <w:color w:val="auto"/>
        </w:rPr>
      </w:pPr>
    </w:p>
    <w:p>
      <w:pPr>
        <w:ind w:right="80" w:firstLine="586"/>
        <w:spacing w:after="0" w:line="272" w:lineRule="auto"/>
        <w:rPr>
          <w:sz w:val="20"/>
          <w:szCs w:val="20"/>
          <w:color w:val="auto"/>
        </w:rPr>
      </w:pPr>
      <w:r>
        <w:rPr>
          <w:rFonts w:ascii="Arial" w:cs="Arial" w:eastAsia="Arial" w:hAnsi="Arial"/>
          <w:sz w:val="17"/>
          <w:szCs w:val="17"/>
          <w:color w:val="auto"/>
        </w:rPr>
        <w:t xml:space="preserve">10.7 </w:t>
      </w:r>
      <w:r>
        <w:rPr>
          <w:rFonts w:ascii="Arial" w:cs="Arial" w:eastAsia="Arial" w:hAnsi="Arial"/>
          <w:sz w:val="17"/>
          <w:szCs w:val="17"/>
          <w:u w:val="single" w:color="auto"/>
          <w:color w:val="auto"/>
        </w:rPr>
        <w:t>Conditions on Delivery of Stock</w:t>
      </w:r>
      <w:r>
        <w:rPr>
          <w:rFonts w:ascii="Arial" w:cs="Arial" w:eastAsia="Arial" w:hAnsi="Arial"/>
          <w:sz w:val="17"/>
          <w:szCs w:val="17"/>
          <w:color w:val="auto"/>
        </w:rPr>
        <w:t>. The Company will not be obligated to deliver any Shares under the Plan or remove restrictions from Shares previously delivered under the Plan until (i) all Award conditions have been met or removed to the Company’s satisfaction, (ii) as determined by the Company, all other legal matters regarding the issuance and delivery of such Shares have been satisfied, including any applicable securities laws and stock exchange or stock market rules and regulations, and (iii) the Participant has executed and delivered to the Company such representations or agreements as the Administrator deems necessary or appropriate to satisfy Applicable Law. The Company’s inability to obtain authority from any regulatory body having jurisdiction, which the Administrator determines is necessary to the lawful issuance and sale of any securities, will relieve the Company of any liability for failing to issue or sell such Shares as to which such requisite authority has not been obtained.</w:t>
      </w:r>
    </w:p>
    <w:p>
      <w:pPr>
        <w:spacing w:after="0" w:line="177" w:lineRule="exact"/>
        <w:rPr>
          <w:sz w:val="20"/>
          <w:szCs w:val="20"/>
          <w:color w:val="auto"/>
        </w:rPr>
      </w:pPr>
    </w:p>
    <w:p>
      <w:pPr>
        <w:ind w:right="200" w:firstLine="586"/>
        <w:spacing w:after="0" w:line="277"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Acceleration</w:t>
      </w:r>
      <w:r>
        <w:rPr>
          <w:rFonts w:ascii="Arial" w:cs="Arial" w:eastAsia="Arial" w:hAnsi="Arial"/>
          <w:sz w:val="18"/>
          <w:szCs w:val="18"/>
          <w:color w:val="auto"/>
        </w:rPr>
        <w:t>. The Administrator may at any time provide that any Award will become immediately vested and fully or partially exercisable, free of some or all restrictions or conditions, or otherwise fully or partially realizable.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right="60" w:firstLine="586"/>
        <w:spacing w:after="0" w:line="301"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No Right to Employment or Other Status</w:t>
      </w:r>
      <w:r>
        <w:rPr>
          <w:rFonts w:ascii="Arial" w:cs="Arial" w:eastAsia="Arial" w:hAnsi="Arial"/>
          <w:sz w:val="16"/>
          <w:szCs w:val="16"/>
          <w:color w:val="auto"/>
        </w:rPr>
        <w:t>. No person will have any claim or right to be granted an Award, and the grant of an Award will not be construed as giving a Participant the right to continue employment or any other relationship with the Company. The Company expressly reserves the right at any time to dismiss or otherwise terminate its relationship with a Participant free from any liability or claim under the Plan or any Award, except as expressly provided in an Award Agreement or other written agreement between the Participant and the Company or any Subsidiary.</w:t>
      </w:r>
    </w:p>
    <w:p>
      <w:pPr>
        <w:spacing w:after="0" w:line="157" w:lineRule="exact"/>
        <w:rPr>
          <w:sz w:val="20"/>
          <w:szCs w:val="20"/>
          <w:color w:val="auto"/>
        </w:rPr>
      </w:pPr>
    </w:p>
    <w:p>
      <w:pPr>
        <w:ind w:firstLine="586"/>
        <w:spacing w:after="0" w:line="273"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u w:val="single" w:color="auto"/>
          <w:color w:val="auto"/>
        </w:rPr>
        <w:t>No Rights as Stockholder; Certificates</w:t>
      </w:r>
      <w:r>
        <w:rPr>
          <w:rFonts w:ascii="Arial" w:cs="Arial" w:eastAsia="Arial" w:hAnsi="Arial"/>
          <w:sz w:val="17"/>
          <w:szCs w:val="17"/>
          <w:color w:val="auto"/>
        </w:rPr>
        <w:t>. Subject to the Award Agreement, no Participant or Designated Beneficiary will have any rights as a stockholder with respect to any Shares to be distributed under an Award until becoming the record holder of such Shares. Notwithstanding any other provision of the Plan, unless the Administrator otherwise determines or Applicable Law requires, the Company will not be required to deliver to any Participant certificates evidencing Shares issued in connection with any Award and instead such Shares may be recorded in the books of the Company (or, as applicable, its transfer agent or stock plan administrator). The Company may place legends on any share certificate or book entry to reference restrictions applicable to the Shares (including, without limitation, restrictions applicable to Restricted Stock).</w:t>
      </w:r>
    </w:p>
    <w:p>
      <w:pPr>
        <w:spacing w:after="0" w:line="178" w:lineRule="exact"/>
        <w:rPr>
          <w:sz w:val="20"/>
          <w:szCs w:val="20"/>
          <w:color w:val="auto"/>
        </w:rPr>
      </w:pPr>
    </w:p>
    <w:p>
      <w:pPr>
        <w:ind w:right="120" w:firstLine="586"/>
        <w:spacing w:after="0" w:line="277"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Effective Date</w:t>
      </w:r>
      <w:r>
        <w:rPr>
          <w:rFonts w:ascii="Arial" w:cs="Arial" w:eastAsia="Arial" w:hAnsi="Arial"/>
          <w:sz w:val="18"/>
          <w:szCs w:val="18"/>
          <w:color w:val="auto"/>
        </w:rPr>
        <w:t>. The Plan will become effective on the day prior to the Public Trading Date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No Incentive Stock Option may be granted pursuant to the Plan after the tenth anniversary of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t>earlier of (i) the date the Plan was approved by the Board and (ii) the date the Plan was approved by the Company’s stockholders.</w:t>
      </w:r>
    </w:p>
    <w:p>
      <w:pPr>
        <w:spacing w:after="0" w:line="225" w:lineRule="exact"/>
        <w:rPr>
          <w:sz w:val="20"/>
          <w:szCs w:val="20"/>
          <w:color w:val="auto"/>
        </w:rPr>
      </w:pPr>
    </w:p>
    <w:p>
      <w:pPr>
        <w:ind w:firstLine="586"/>
        <w:spacing w:after="0" w:line="254"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Amendment of Plan</w:t>
      </w:r>
      <w:r>
        <w:rPr>
          <w:rFonts w:ascii="Arial" w:cs="Arial" w:eastAsia="Arial" w:hAnsi="Arial"/>
          <w:sz w:val="18"/>
          <w:szCs w:val="18"/>
          <w:color w:val="auto"/>
        </w:rPr>
        <w:t>. The Board may amend, suspend or terminate the Plan at any time and from time to time; provided that (a) no amendment requiring stockholder approval to comply with Applicable Law shall be effective unless approved by the Board, and (b) no amendment, other than an increase to the Overall Share Limit or pursuant to Article IX or Section 11.6, may materially and adversely affect any Award outstanding at the time of such amendment without the affected Participant’s consent. No Awards may be granted under the Plan during any suspension period or after Plan termination. Awards outstanding at the time of any Plan suspension or termination will continue to be governed by the Plan and the Award Agreement, as in effect before such suspension or termination. The Board will obtain stockholder approval of any Plan amendment to the extent necessary to comply with Applicable Law.</w:t>
      </w:r>
    </w:p>
    <w:p>
      <w:pPr>
        <w:spacing w:after="0" w:line="195" w:lineRule="exact"/>
        <w:rPr>
          <w:sz w:val="20"/>
          <w:szCs w:val="20"/>
          <w:color w:val="auto"/>
        </w:rPr>
      </w:pPr>
    </w:p>
    <w:p>
      <w:pPr>
        <w:ind w:right="160" w:firstLine="586"/>
        <w:spacing w:after="0" w:line="257"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Provisions for Foreign Participants</w:t>
      </w:r>
      <w:r>
        <w:rPr>
          <w:rFonts w:ascii="Arial" w:cs="Arial" w:eastAsia="Arial" w:hAnsi="Arial"/>
          <w:sz w:val="18"/>
          <w:szCs w:val="18"/>
          <w:color w:val="auto"/>
        </w:rPr>
        <w:t>. The Administrator may modify Awards granted to Participants who are foreign nationals or employed outside the United States, establish subplans or procedures under the Plan or take any other necessary or appropriate action to address Applicable Law, including (a) differences in laws, rules, regulations or customs of such foreign jurisdictions with respect to tax, securities, currency, employee benefit or other matters, (b) listing and other requirements of any foreign securities exchange, and (c) any necessary local governmental or regulatory exemptions or approvals.</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225" w:lineRule="exact"/>
        <w:rPr>
          <w:sz w:val="20"/>
          <w:szCs w:val="20"/>
          <w:color w:val="auto"/>
        </w:rPr>
      </w:pPr>
    </w:p>
    <w:p>
      <w:pPr>
        <w:ind w:right="100" w:firstLine="1329"/>
        <w:spacing w:after="0" w:line="269" w:lineRule="auto"/>
        <w:tabs>
          <w:tab w:leader="none" w:pos="1565"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General</w:t>
      </w:r>
      <w:r>
        <w:rPr>
          <w:rFonts w:ascii="Arial" w:cs="Arial" w:eastAsia="Arial" w:hAnsi="Arial"/>
          <w:sz w:val="17"/>
          <w:szCs w:val="17"/>
          <w:color w:val="auto"/>
        </w:rPr>
        <w:t>. The Company intends that all Awards be structured to comply with, or be exempt from, Section 409A, such that no adverse</w:t>
      </w:r>
      <w:r>
        <w:rPr>
          <w:rFonts w:ascii="Arial" w:cs="Arial" w:eastAsia="Arial" w:hAnsi="Arial"/>
          <w:sz w:val="17"/>
          <w:szCs w:val="17"/>
          <w:i w:val="1"/>
          <w:iCs w:val="1"/>
          <w:color w:val="auto"/>
        </w:rPr>
        <w:t xml:space="preserve"> </w:t>
      </w:r>
      <w:r>
        <w:rPr>
          <w:rFonts w:ascii="Arial" w:cs="Arial" w:eastAsia="Arial" w:hAnsi="Arial"/>
          <w:sz w:val="17"/>
          <w:szCs w:val="17"/>
          <w:color w:val="auto"/>
        </w:rPr>
        <w:t>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 (A) exempt this Plan or any Award from Section 409A, or (B)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11.6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w:t>
      </w:r>
    </w:p>
    <w:p>
      <w:pPr>
        <w:spacing w:after="0" w:line="185" w:lineRule="exact"/>
        <w:rPr>
          <w:rFonts w:ascii="Arial" w:cs="Arial" w:eastAsia="Arial" w:hAnsi="Arial"/>
          <w:sz w:val="17"/>
          <w:szCs w:val="17"/>
          <w:color w:val="auto"/>
        </w:rPr>
      </w:pPr>
    </w:p>
    <w:p>
      <w:pPr>
        <w:ind w:right="180" w:firstLine="1329"/>
        <w:spacing w:after="0" w:line="257" w:lineRule="auto"/>
        <w:tabs>
          <w:tab w:leader="none" w:pos="1575"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Separation from Service</w:t>
      </w:r>
      <w:r>
        <w:rPr>
          <w:rFonts w:ascii="Arial" w:cs="Arial" w:eastAsia="Arial" w:hAnsi="Arial"/>
          <w:sz w:val="18"/>
          <w:szCs w:val="18"/>
          <w:color w:val="auto"/>
        </w:rPr>
        <w:t>. If an Award constitutes “nonqualified deferred compensation” under Section 409A, any payment or</w:t>
      </w:r>
      <w:r>
        <w:rPr>
          <w:rFonts w:ascii="Arial" w:cs="Arial" w:eastAsia="Arial" w:hAnsi="Arial"/>
          <w:sz w:val="18"/>
          <w:szCs w:val="18"/>
          <w:i w:val="1"/>
          <w:iCs w:val="1"/>
          <w:color w:val="auto"/>
        </w:rPr>
        <w:t xml:space="preserve"> </w:t>
      </w:r>
      <w:r>
        <w:rPr>
          <w:rFonts w:ascii="Arial" w:cs="Arial" w:eastAsia="Arial" w:hAnsi="Arial"/>
          <w:sz w:val="18"/>
          <w:szCs w:val="18"/>
          <w:color w:val="auto"/>
        </w:rPr>
        <w:t>settlement of such Award upon a Participant’s Termination of Service will, to the extent necessary to avoid taxes under Section 409A, be made only upon the Participant’s “separation from service” (within the meaning of Section 409A), whether such “separation from service” occurs upon or after the Participant’s Termination of Service. For purposes of this Plan or any Award Agreement relating to any such payments or benefits, references to a “termination,” “termination of employment” or like terms means a “separation from service.”</w:t>
      </w:r>
    </w:p>
    <w:p>
      <w:pPr>
        <w:spacing w:after="0" w:line="187" w:lineRule="exact"/>
        <w:rPr>
          <w:rFonts w:ascii="Arial" w:cs="Arial" w:eastAsia="Arial" w:hAnsi="Arial"/>
          <w:sz w:val="18"/>
          <w:szCs w:val="18"/>
          <w:color w:val="auto"/>
        </w:rPr>
      </w:pPr>
    </w:p>
    <w:p>
      <w:pPr>
        <w:ind w:right="220" w:firstLine="1329"/>
        <w:spacing w:after="0" w:line="291" w:lineRule="auto"/>
        <w:tabs>
          <w:tab w:leader="none" w:pos="1565"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Payments to Specified Employees</w:t>
      </w:r>
      <w:r>
        <w:rPr>
          <w:rFonts w:ascii="Arial" w:cs="Arial" w:eastAsia="Arial" w:hAnsi="Arial"/>
          <w:sz w:val="16"/>
          <w:szCs w:val="16"/>
          <w:color w:val="auto"/>
        </w:rPr>
        <w:t>. Notwithstanding any contrary provision in the Plan or any Award Agreement, any payment(s)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“nonqualified deferred compensation” required to be made under an Award to a “specified employee” (as defined under Section 409A and as the Administrator determines) due to his or her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Participant’s “separation from service” will be paid at the time or times the payments are otherwise scheduled to be made.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4" w:name="page105"/>
    <w:bookmarkEnd w:id="104"/>
    <w:p>
      <w:pPr>
        <w:ind w:right="80" w:firstLine="586"/>
        <w:spacing w:after="0" w:line="270" w:lineRule="auto"/>
        <w:rPr>
          <w:sz w:val="20"/>
          <w:szCs w:val="20"/>
          <w:color w:val="auto"/>
        </w:rPr>
      </w:pPr>
      <w:r>
        <w:rPr>
          <w:rFonts w:ascii="Arial" w:cs="Arial" w:eastAsia="Arial" w:hAnsi="Arial"/>
          <w:sz w:val="17"/>
          <w:szCs w:val="17"/>
          <w:color w:val="auto"/>
        </w:rPr>
        <w:t xml:space="preserve">11.7 </w:t>
      </w:r>
      <w:r>
        <w:rPr>
          <w:rFonts w:ascii="Arial" w:cs="Arial" w:eastAsia="Arial" w:hAnsi="Arial"/>
          <w:sz w:val="17"/>
          <w:szCs w:val="17"/>
          <w:u w:val="single" w:color="auto"/>
          <w:color w:val="auto"/>
        </w:rPr>
        <w:t>Limitations on Liability</w:t>
      </w:r>
      <w:r>
        <w:rPr>
          <w:rFonts w:ascii="Arial" w:cs="Arial" w:eastAsia="Arial" w:hAnsi="Arial"/>
          <w:sz w:val="17"/>
          <w:szCs w:val="17"/>
          <w:color w:val="auto"/>
        </w:rPr>
        <w:t>. Notwithstanding any other provisions of the Plan, no individual acting as a director, officer or other employee of the Company or any Subsidiary will be liable to any Participant, former Participant, spouse, beneficiary, or any other person for any claim, loss, liability, or expense incurred in connection with the Plan or any Award, and such individual will not be personally liable with respect to the Plan because of any contract or other instrument executed in his or her capacity as an Administrator, director, officer or other employee of the Company or any Subsidiary. The Company will indemnify and hold harmless each director, officer or other employee of the Company or any Subsidiary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 provided that he or she gives the Company an opportunity, at its own expense, to handle and defend the same before he or she undertakes to handle and defend it on his or her own behalf.</w:t>
      </w:r>
    </w:p>
    <w:p>
      <w:pPr>
        <w:spacing w:after="0" w:line="181" w:lineRule="exact"/>
        <w:rPr>
          <w:sz w:val="20"/>
          <w:szCs w:val="20"/>
          <w:color w:val="auto"/>
        </w:rPr>
      </w:pPr>
    </w:p>
    <w:p>
      <w:pPr>
        <w:ind w:firstLine="586"/>
        <w:spacing w:after="0" w:line="285" w:lineRule="auto"/>
        <w:rPr>
          <w:sz w:val="20"/>
          <w:szCs w:val="20"/>
          <w:color w:val="auto"/>
        </w:rPr>
      </w:pPr>
      <w:r>
        <w:rPr>
          <w:rFonts w:ascii="Arial" w:cs="Arial" w:eastAsia="Arial" w:hAnsi="Arial"/>
          <w:sz w:val="16"/>
          <w:szCs w:val="16"/>
          <w:color w:val="auto"/>
        </w:rPr>
        <w:t xml:space="preserve">11.8 </w:t>
      </w:r>
      <w:r>
        <w:rPr>
          <w:rFonts w:ascii="Arial" w:cs="Arial" w:eastAsia="Arial" w:hAnsi="Arial"/>
          <w:sz w:val="16"/>
          <w:szCs w:val="16"/>
          <w:u w:val="single" w:color="auto"/>
          <w:color w:val="auto"/>
        </w:rPr>
        <w:t>Data Privacy</w:t>
      </w:r>
      <w:r>
        <w:rPr>
          <w:rFonts w:ascii="Arial" w:cs="Arial" w:eastAsia="Arial" w:hAnsi="Arial"/>
          <w:sz w:val="16"/>
          <w:szCs w:val="16"/>
          <w:color w:val="auto"/>
        </w:rPr>
        <w:t>. As a condition for receiving any Award, each Participant explicitly and unambiguously consents to the collection, use and transfer, in electronic or other form, of personal data as described in this Section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held in the Company or its Subsidiaries and affiliates; and Award details, to implement, manage and administer the Plan and Awards (the “</w:t>
      </w:r>
      <w:r>
        <w:rPr>
          <w:rFonts w:ascii="Arial" w:cs="Arial" w:eastAsia="Arial" w:hAnsi="Arial"/>
          <w:sz w:val="16"/>
          <w:szCs w:val="16"/>
          <w:b w:val="1"/>
          <w:bCs w:val="1"/>
          <w:i w:val="1"/>
          <w:iCs w:val="1"/>
          <w:color w:val="auto"/>
        </w:rPr>
        <w:t>Data</w:t>
      </w:r>
      <w:r>
        <w:rPr>
          <w:rFonts w:ascii="Arial" w:cs="Arial" w:eastAsia="Arial" w:hAnsi="Arial"/>
          <w:sz w:val="16"/>
          <w:szCs w:val="16"/>
          <w:color w:val="auto"/>
        </w:rPr>
        <w:t>”).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11.8 in writing, without cost, by contacting the local human resources representative. The Company may cancel Participant’s ability to participate in the Plan and, in the Administrator’s sole discretion, the Participant may forfeit any outstanding Awards if the Participant refuses or withdraws the consents in this Section 11.8. For more information on the consequences of refusing or withdrawing consent, Participants may contact their local human resources representative.</w:t>
      </w:r>
    </w:p>
    <w:p>
      <w:pPr>
        <w:spacing w:after="0" w:line="171" w:lineRule="exact"/>
        <w:rPr>
          <w:sz w:val="20"/>
          <w:szCs w:val="20"/>
          <w:color w:val="auto"/>
        </w:rPr>
      </w:pPr>
    </w:p>
    <w:p>
      <w:pPr>
        <w:jc w:val="both"/>
        <w:ind w:right="120" w:firstLine="586"/>
        <w:spacing w:after="0" w:line="263" w:lineRule="auto"/>
        <w:rPr>
          <w:sz w:val="20"/>
          <w:szCs w:val="20"/>
          <w:color w:val="auto"/>
        </w:rPr>
      </w:pPr>
      <w:r>
        <w:rPr>
          <w:rFonts w:ascii="Arial" w:cs="Arial" w:eastAsia="Arial" w:hAnsi="Arial"/>
          <w:sz w:val="18"/>
          <w:szCs w:val="18"/>
          <w:color w:val="auto"/>
        </w:rPr>
        <w:t xml:space="preserve">11.9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spacing w:after="0" w:line="184" w:lineRule="exact"/>
        <w:rPr>
          <w:sz w:val="20"/>
          <w:szCs w:val="20"/>
          <w:color w:val="auto"/>
        </w:rPr>
      </w:pPr>
    </w:p>
    <w:p>
      <w:pPr>
        <w:ind w:right="380" w:firstLine="586"/>
        <w:spacing w:after="0" w:line="263" w:lineRule="auto"/>
        <w:rPr>
          <w:sz w:val="20"/>
          <w:szCs w:val="20"/>
          <w:color w:val="auto"/>
        </w:rPr>
      </w:pPr>
      <w:r>
        <w:rPr>
          <w:rFonts w:ascii="Arial" w:cs="Arial" w:eastAsia="Arial" w:hAnsi="Arial"/>
          <w:sz w:val="18"/>
          <w:szCs w:val="18"/>
          <w:color w:val="auto"/>
        </w:rPr>
        <w:t xml:space="preserve">11.10 </w:t>
      </w:r>
      <w:r>
        <w:rPr>
          <w:rFonts w:ascii="Arial" w:cs="Arial" w:eastAsia="Arial" w:hAnsi="Arial"/>
          <w:sz w:val="18"/>
          <w:szCs w:val="18"/>
          <w:u w:val="single" w:color="auto"/>
          <w:color w:val="auto"/>
        </w:rPr>
        <w:t>Governing Documents</w:t>
      </w:r>
      <w:r>
        <w:rPr>
          <w:rFonts w:ascii="Arial" w:cs="Arial" w:eastAsia="Arial" w:hAnsi="Arial"/>
          <w:sz w:val="18"/>
          <w:szCs w:val="18"/>
          <w:color w:val="auto"/>
        </w:rPr>
        <w:t>. If any contradiction occurs between the Plan and any Award Agreement or other written agreement between a Participant and the Company (or any Subsidiary), the Plan will govern, unless such Award Agreement or other written agreement was approved by the Administrator and expressly provides that a specific provision of the Plan will not apply.</w:t>
      </w:r>
    </w:p>
    <w:p>
      <w:pPr>
        <w:spacing w:after="0" w:line="184" w:lineRule="exact"/>
        <w:rPr>
          <w:sz w:val="20"/>
          <w:szCs w:val="20"/>
          <w:color w:val="auto"/>
        </w:rPr>
      </w:pPr>
    </w:p>
    <w:p>
      <w:pPr>
        <w:ind w:right="120" w:firstLine="586"/>
        <w:spacing w:after="0" w:line="263" w:lineRule="auto"/>
        <w:rPr>
          <w:sz w:val="20"/>
          <w:szCs w:val="20"/>
          <w:color w:val="auto"/>
        </w:rPr>
      </w:pPr>
      <w:r>
        <w:rPr>
          <w:rFonts w:ascii="Arial" w:cs="Arial" w:eastAsia="Arial" w:hAnsi="Arial"/>
          <w:sz w:val="18"/>
          <w:szCs w:val="18"/>
          <w:color w:val="auto"/>
        </w:rPr>
        <w:t xml:space="preserve">11.11 </w:t>
      </w: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all Awards will be governed by and interpreted in accordance with the laws of the State of Delaware, disregarding the choice-of-law principles of the State of Delaware and any other state requiring the application of a jurisdiction’s laws other than the State of Delaware.</w:t>
      </w:r>
    </w:p>
    <w:p>
      <w:pPr>
        <w:spacing w:after="0" w:line="184" w:lineRule="exact"/>
        <w:rPr>
          <w:sz w:val="20"/>
          <w:szCs w:val="20"/>
          <w:color w:val="auto"/>
        </w:rPr>
      </w:pPr>
    </w:p>
    <w:p>
      <w:pPr>
        <w:ind w:right="20" w:firstLine="586"/>
        <w:spacing w:after="0" w:line="263" w:lineRule="auto"/>
        <w:rPr>
          <w:sz w:val="20"/>
          <w:szCs w:val="20"/>
          <w:color w:val="auto"/>
        </w:rPr>
      </w:pPr>
      <w:r>
        <w:rPr>
          <w:rFonts w:ascii="Arial" w:cs="Arial" w:eastAsia="Arial" w:hAnsi="Arial"/>
          <w:sz w:val="18"/>
          <w:szCs w:val="18"/>
          <w:color w:val="auto"/>
        </w:rPr>
        <w:t xml:space="preserve">11.12 </w:t>
      </w:r>
      <w:r>
        <w:rPr>
          <w:rFonts w:ascii="Arial" w:cs="Arial" w:eastAsia="Arial" w:hAnsi="Arial"/>
          <w:sz w:val="18"/>
          <w:szCs w:val="18"/>
          <w:u w:val="single" w:color="auto"/>
          <w:color w:val="auto"/>
        </w:rPr>
        <w:t>Clawback Provisions</w:t>
      </w:r>
      <w:r>
        <w:rPr>
          <w:rFonts w:ascii="Arial" w:cs="Arial" w:eastAsia="Arial" w:hAnsi="Arial"/>
          <w:sz w:val="18"/>
          <w:szCs w:val="18"/>
          <w:color w:val="auto"/>
        </w:rPr>
        <w:t>. All Awards (including the gross amount of any proceeds, gains or other economic benefit the Participant actually or constructively receives upon receipt or exercise of any Award or the receipt or resale of any Shares underlying the Award) will be subject to recoupment by the Company to the extent required to</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05" w:name="page106"/>
    <w:bookmarkEnd w:id="105"/>
    <w:p>
      <w:pPr>
        <w:ind w:right="40"/>
        <w:spacing w:after="0" w:line="277" w:lineRule="auto"/>
        <w:rPr>
          <w:sz w:val="20"/>
          <w:szCs w:val="20"/>
          <w:color w:val="auto"/>
        </w:rPr>
      </w:pPr>
      <w:r>
        <w:rPr>
          <w:rFonts w:ascii="Arial" w:cs="Arial" w:eastAsia="Arial" w:hAnsi="Arial"/>
          <w:sz w:val="18"/>
          <w:szCs w:val="18"/>
          <w:color w:val="auto"/>
        </w:rPr>
        <w:t>comply with Applicable Law or any policy of the Company providing for the reimbursement of incentive compensation, whether or not such policy was in place at the time of grant of an Award.</w:t>
      </w:r>
    </w:p>
    <w:p>
      <w:pPr>
        <w:spacing w:after="0" w:line="170" w:lineRule="exact"/>
        <w:rPr>
          <w:sz w:val="20"/>
          <w:szCs w:val="20"/>
          <w:color w:val="auto"/>
        </w:rPr>
      </w:pPr>
    </w:p>
    <w:p>
      <w:pPr>
        <w:ind w:right="40" w:firstLine="586"/>
        <w:spacing w:after="0" w:line="277" w:lineRule="auto"/>
        <w:rPr>
          <w:sz w:val="20"/>
          <w:szCs w:val="20"/>
          <w:color w:val="auto"/>
        </w:rPr>
      </w:pPr>
      <w:r>
        <w:rPr>
          <w:rFonts w:ascii="Arial" w:cs="Arial" w:eastAsia="Arial" w:hAnsi="Arial"/>
          <w:sz w:val="18"/>
          <w:szCs w:val="18"/>
          <w:color w:val="auto"/>
        </w:rPr>
        <w:t xml:space="preserve">11.13 </w:t>
      </w:r>
      <w:r>
        <w:rPr>
          <w:rFonts w:ascii="Arial" w:cs="Arial" w:eastAsia="Arial" w:hAnsi="Arial"/>
          <w:sz w:val="18"/>
          <w:szCs w:val="18"/>
          <w:u w:val="single" w:color="auto"/>
          <w:color w:val="auto"/>
        </w:rPr>
        <w:t>Titles and Headings</w:t>
      </w:r>
      <w:r>
        <w:rPr>
          <w:rFonts w:ascii="Arial" w:cs="Arial" w:eastAsia="Arial" w:hAnsi="Arial"/>
          <w:sz w:val="18"/>
          <w:szCs w:val="18"/>
          <w:color w:val="auto"/>
        </w:rPr>
        <w:t>. The titles and headings in the Plan are for convenience of reference only and, if any conflict, the Plan’s text, rather than such titles or headings, will control.</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 xml:space="preserve">11.14 </w:t>
      </w:r>
      <w:r>
        <w:rPr>
          <w:rFonts w:ascii="Arial" w:cs="Arial" w:eastAsia="Arial" w:hAnsi="Arial"/>
          <w:sz w:val="16"/>
          <w:szCs w:val="16"/>
          <w:u w:val="single" w:color="auto"/>
          <w:color w:val="auto"/>
        </w:rPr>
        <w:t>Conformity to Applicable Law</w:t>
      </w:r>
      <w:r>
        <w:rPr>
          <w:rFonts w:ascii="Arial" w:cs="Arial" w:eastAsia="Arial" w:hAnsi="Arial"/>
          <w:sz w:val="16"/>
          <w:szCs w:val="16"/>
          <w:color w:val="auto"/>
        </w:rPr>
        <w:t>. Participant acknowledges that the Plan is intended to conform to the extent necessary with Applicable Law.</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Notwithstanding anything herein to the contrary, the Plan and all Awards will be administered only in a manner intended to conform with Applicable Law.</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the extent Applicable Law permit, the Plan and all Award Agreements will be deemed amended as necessary to conform to Applicable Law.</w:t>
      </w:r>
    </w:p>
    <w:p>
      <w:pPr>
        <w:spacing w:after="0" w:line="222" w:lineRule="exact"/>
        <w:rPr>
          <w:sz w:val="20"/>
          <w:szCs w:val="20"/>
          <w:color w:val="auto"/>
        </w:rPr>
      </w:pPr>
    </w:p>
    <w:p>
      <w:pPr>
        <w:jc w:val="both"/>
        <w:ind w:right="520" w:firstLine="586"/>
        <w:spacing w:after="0" w:line="263" w:lineRule="auto"/>
        <w:rPr>
          <w:sz w:val="20"/>
          <w:szCs w:val="20"/>
          <w:color w:val="auto"/>
        </w:rPr>
      </w:pPr>
      <w:r>
        <w:rPr>
          <w:rFonts w:ascii="Arial" w:cs="Arial" w:eastAsia="Arial" w:hAnsi="Arial"/>
          <w:sz w:val="18"/>
          <w:szCs w:val="18"/>
          <w:color w:val="auto"/>
        </w:rPr>
        <w:t xml:space="preserve">11.15 </w:t>
      </w:r>
      <w:r>
        <w:rPr>
          <w:rFonts w:ascii="Arial" w:cs="Arial" w:eastAsia="Arial" w:hAnsi="Arial"/>
          <w:sz w:val="18"/>
          <w:szCs w:val="18"/>
          <w:u w:val="single" w:color="auto"/>
          <w:color w:val="auto"/>
        </w:rPr>
        <w:t>Relationship to Other Benefits</w:t>
      </w:r>
      <w:r>
        <w:rPr>
          <w:rFonts w:ascii="Arial" w:cs="Arial" w:eastAsia="Arial" w:hAnsi="Arial"/>
          <w:sz w:val="18"/>
          <w:szCs w:val="18"/>
          <w:color w:val="auto"/>
        </w:rPr>
        <w:t>.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spacing w:after="0" w:line="184" w:lineRule="exact"/>
        <w:rPr>
          <w:sz w:val="20"/>
          <w:szCs w:val="20"/>
          <w:color w:val="auto"/>
        </w:rPr>
      </w:pPr>
    </w:p>
    <w:p>
      <w:pPr>
        <w:ind w:firstLine="586"/>
        <w:spacing w:after="0" w:line="263" w:lineRule="auto"/>
        <w:rPr>
          <w:sz w:val="20"/>
          <w:szCs w:val="20"/>
          <w:color w:val="auto"/>
        </w:rPr>
      </w:pPr>
      <w:r>
        <w:rPr>
          <w:rFonts w:ascii="Arial" w:cs="Arial" w:eastAsia="Arial" w:hAnsi="Arial"/>
          <w:sz w:val="18"/>
          <w:szCs w:val="18"/>
          <w:color w:val="auto"/>
        </w:rPr>
        <w:t xml:space="preserve">11.16 </w:t>
      </w:r>
      <w:r>
        <w:rPr>
          <w:rFonts w:ascii="Arial" w:cs="Arial" w:eastAsia="Arial" w:hAnsi="Arial"/>
          <w:sz w:val="18"/>
          <w:szCs w:val="18"/>
          <w:u w:val="single" w:color="auto"/>
          <w:color w:val="auto"/>
        </w:rPr>
        <w:t>Unfunded Status of Awards</w:t>
      </w:r>
      <w:r>
        <w:rPr>
          <w:rFonts w:ascii="Arial" w:cs="Arial" w:eastAsia="Arial" w:hAnsi="Arial"/>
          <w:sz w:val="18"/>
          <w:szCs w:val="18"/>
          <w:color w:val="auto"/>
        </w:rPr>
        <w:t>. The Plan is intended to be an “unfunded” plan for incentive compensation. With respect to any payments not yet made to a Participant pursuant to an Award, nothing contained in the Plan or Award Agreement shall give the Participant any rights that are greater than those of a general creditor of the Company or any Subsidiary.</w:t>
      </w:r>
    </w:p>
    <w:p>
      <w:pPr>
        <w:spacing w:after="0" w:line="184" w:lineRule="exact"/>
        <w:rPr>
          <w:sz w:val="20"/>
          <w:szCs w:val="20"/>
          <w:color w:val="auto"/>
        </w:rPr>
      </w:pPr>
    </w:p>
    <w:p>
      <w:pPr>
        <w:ind w:right="100" w:firstLine="586"/>
        <w:spacing w:after="0" w:line="275" w:lineRule="auto"/>
        <w:rPr>
          <w:sz w:val="20"/>
          <w:szCs w:val="20"/>
          <w:color w:val="auto"/>
        </w:rPr>
      </w:pPr>
      <w:r>
        <w:rPr>
          <w:rFonts w:ascii="Arial" w:cs="Arial" w:eastAsia="Arial" w:hAnsi="Arial"/>
          <w:sz w:val="17"/>
          <w:szCs w:val="17"/>
          <w:color w:val="auto"/>
        </w:rPr>
        <w:t xml:space="preserve">11.17 </w:t>
      </w:r>
      <w:r>
        <w:rPr>
          <w:rFonts w:ascii="Arial" w:cs="Arial" w:eastAsia="Arial" w:hAnsi="Arial"/>
          <w:sz w:val="17"/>
          <w:szCs w:val="17"/>
          <w:u w:val="single" w:color="auto"/>
          <w:color w:val="auto"/>
        </w:rPr>
        <w:t>Limitations Applicable to Section 16 Persons</w:t>
      </w:r>
      <w:r>
        <w:rPr>
          <w:rFonts w:ascii="Arial" w:cs="Arial" w:eastAsia="Arial" w:hAnsi="Arial"/>
          <w:sz w:val="17"/>
          <w:szCs w:val="17"/>
          <w:color w:val="auto"/>
        </w:rPr>
        <w:t>. 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16b-3 of the Exchange Act and any amendments thereto) that are requirements for the application of such exemptive rule. To the extent permitted by Applicable Law, the Plan and Awards granted or awarded hereunder shall be deemed amended to the extent necessary to conform to such applicable exemptive rule.</w:t>
      </w:r>
    </w:p>
    <w:p>
      <w:pPr>
        <w:spacing w:after="0" w:line="176" w:lineRule="exact"/>
        <w:rPr>
          <w:sz w:val="20"/>
          <w:szCs w:val="20"/>
          <w:color w:val="auto"/>
        </w:rPr>
      </w:pPr>
    </w:p>
    <w:p>
      <w:pPr>
        <w:ind w:right="100" w:firstLine="586"/>
        <w:spacing w:after="0" w:line="259" w:lineRule="auto"/>
        <w:rPr>
          <w:sz w:val="20"/>
          <w:szCs w:val="20"/>
          <w:color w:val="auto"/>
        </w:rPr>
      </w:pPr>
      <w:r>
        <w:rPr>
          <w:rFonts w:ascii="Arial" w:cs="Arial" w:eastAsia="Arial" w:hAnsi="Arial"/>
          <w:sz w:val="18"/>
          <w:szCs w:val="18"/>
          <w:color w:val="auto"/>
        </w:rPr>
        <w:t xml:space="preserve">11.18 </w:t>
      </w:r>
      <w:r>
        <w:rPr>
          <w:rFonts w:ascii="Arial" w:cs="Arial" w:eastAsia="Arial" w:hAnsi="Arial"/>
          <w:sz w:val="18"/>
          <w:szCs w:val="18"/>
          <w:u w:val="single" w:color="auto"/>
          <w:color w:val="auto"/>
        </w:rPr>
        <w:t>Prohibition on Executive Officer Loans</w:t>
      </w:r>
      <w:r>
        <w:rPr>
          <w:rFonts w:ascii="Arial" w:cs="Arial" w:eastAsia="Arial" w:hAnsi="Arial"/>
          <w:sz w:val="18"/>
          <w:szCs w:val="18"/>
          <w:color w:val="auto"/>
        </w:rPr>
        <w:t>. Notwithstanding any other provision of the Plan to the contrary, no Participant who is a Director or an “executive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w:t>
      </w:r>
    </w:p>
    <w:p>
      <w:pPr>
        <w:spacing w:after="0" w:line="187" w:lineRule="exact"/>
        <w:rPr>
          <w:sz w:val="20"/>
          <w:szCs w:val="20"/>
          <w:color w:val="auto"/>
        </w:rPr>
      </w:pPr>
    </w:p>
    <w:p>
      <w:pPr>
        <w:ind w:right="100" w:firstLine="586"/>
        <w:spacing w:after="0" w:line="269" w:lineRule="auto"/>
        <w:rPr>
          <w:sz w:val="20"/>
          <w:szCs w:val="20"/>
          <w:color w:val="auto"/>
        </w:rPr>
      </w:pPr>
      <w:r>
        <w:rPr>
          <w:rFonts w:ascii="Arial" w:cs="Arial" w:eastAsia="Arial" w:hAnsi="Arial"/>
          <w:sz w:val="17"/>
          <w:szCs w:val="17"/>
          <w:color w:val="auto"/>
        </w:rPr>
        <w:t xml:space="preserve">11.19 </w:t>
      </w:r>
      <w:r>
        <w:rPr>
          <w:rFonts w:ascii="Arial" w:cs="Arial" w:eastAsia="Arial" w:hAnsi="Arial"/>
          <w:sz w:val="17"/>
          <w:szCs w:val="17"/>
          <w:u w:val="single" w:color="auto"/>
          <w:color w:val="auto"/>
        </w:rPr>
        <w:t>Broker-Assisted Sales</w:t>
      </w:r>
      <w:r>
        <w:rPr>
          <w:rFonts w:ascii="Arial" w:cs="Arial" w:eastAsia="Arial" w:hAnsi="Arial"/>
          <w:sz w:val="17"/>
          <w:szCs w:val="17"/>
          <w:color w:val="auto"/>
        </w:rPr>
        <w:t>. In the event of a broker-assisted sale of Shares in connection with the payment of amounts owed by a Participant under or with respect to the Plan or Awards, including amounts to be paid under the final sentence of Section 10.5: (a) any Shares to be sold through the broker-assisted sale will be sold on the day the payment first becomes due, or as soon thereafter as practicable; (b) such Shares may be sold as part of a block trade with other Participants in the Plan in which all participants receive an average price; (c) the applicable Participant will be responsible for all broker’s fees and other costs of sale, and by accepting an Award, each Participant agrees to indemnify and hold the Company harmless from any losses, costs, damages, or expenses relating to any such sale; (d) to the extent the Company or its designee receives proceeds of such sale that exceed the amount owed, the Company will pay such excess in cash to the applicable Participant as soon as reasonably practicable; (e) the Company and its designees are under no obligation to arrange for such sale at any particular price; and (f) in the event the proceeds of such sale are insufficient to satisfy the Participant’s applicable obligation, the Participant may be required to pay immediately upon demand to the Company or its designee an amount in cash sufficient to satisfy any remaining portion of the Participant’s obligation.</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06" w:name="page107"/>
    <w:bookmarkEnd w:id="106"/>
    <w:p>
      <w:pPr>
        <w:spacing w:after="0"/>
        <w:rPr>
          <w:sz w:val="20"/>
          <w:szCs w:val="20"/>
          <w:color w:val="auto"/>
        </w:rPr>
      </w:pPr>
      <w:r>
        <w:rPr>
          <w:rFonts w:ascii="Arial" w:cs="Arial" w:eastAsia="Arial" w:hAnsi="Arial"/>
          <w:sz w:val="17"/>
          <w:szCs w:val="17"/>
          <w:color w:val="auto"/>
        </w:rPr>
        <w:t>I hereby certify that the foregoing Plan was duly adopted by the Board of Directors of Corsair Gaming, Inc. on September 11, 2020.</w:t>
      </w:r>
    </w:p>
    <w:p>
      <w:pPr>
        <w:spacing w:after="0" w:line="200" w:lineRule="exact"/>
        <w:rPr>
          <w:sz w:val="20"/>
          <w:szCs w:val="20"/>
          <w:color w:val="auto"/>
        </w:rPr>
      </w:pPr>
    </w:p>
    <w:p>
      <w:pPr>
        <w:spacing w:after="0" w:line="249"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hereby certify that the foregoing Plan was approved by the stockholders of Corsair Gaming, Inc. on September 15,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Executed on this 22nd day of September, 2020.</w:t>
      </w:r>
    </w:p>
    <w:p>
      <w:pPr>
        <w:spacing w:after="0" w:line="252" w:lineRule="exact"/>
        <w:rPr>
          <w:sz w:val="20"/>
          <w:szCs w:val="20"/>
          <w:color w:val="auto"/>
        </w:rPr>
      </w:pPr>
    </w:p>
    <w:p>
      <w:pPr>
        <w:jc w:val="center"/>
        <w:ind w:left="7020"/>
        <w:spacing w:after="0"/>
        <w:rPr>
          <w:sz w:val="20"/>
          <w:szCs w:val="20"/>
          <w:color w:val="auto"/>
        </w:rPr>
      </w:pPr>
      <w:r>
        <w:rPr>
          <w:rFonts w:ascii="Arial" w:cs="Arial" w:eastAsia="Arial" w:hAnsi="Arial"/>
          <w:sz w:val="18"/>
          <w:szCs w:val="18"/>
          <w:color w:val="auto"/>
        </w:rPr>
        <w:t>/s/ Carina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14605</wp:posOffset>
            </wp:positionV>
            <wp:extent cx="26746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5">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3" w:lineRule="exact"/>
        <w:rPr>
          <w:sz w:val="20"/>
          <w:szCs w:val="20"/>
          <w:color w:val="auto"/>
        </w:rPr>
      </w:pPr>
    </w:p>
    <w:p>
      <w:pPr>
        <w:jc w:val="center"/>
        <w:ind w:left="7020"/>
        <w:spacing w:after="0"/>
        <w:rPr>
          <w:sz w:val="20"/>
          <w:szCs w:val="20"/>
          <w:color w:val="auto"/>
        </w:rPr>
      </w:pPr>
      <w:r>
        <w:rPr>
          <w:rFonts w:ascii="Arial" w:cs="Arial" w:eastAsia="Arial" w:hAnsi="Arial"/>
          <w:sz w:val="15"/>
          <w:szCs w:val="15"/>
          <w:color w:val="auto"/>
        </w:rPr>
        <w:t>Corporate Secretary</w:t>
      </w:r>
    </w:p>
    <w:p>
      <w:pPr>
        <w:spacing w:after="0" w:line="200" w:lineRule="exact"/>
        <w:rPr>
          <w:sz w:val="20"/>
          <w:szCs w:val="20"/>
          <w:color w:val="auto"/>
        </w:rPr>
      </w:pPr>
    </w:p>
    <w:p>
      <w:pPr>
        <w:spacing w:after="0" w:line="27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139"/>
          </w:cols>
          <w:pgMar w:left="320" w:top="341" w:right="1440"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CORSAIR GAMING,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EMPLOYEE STOCK PURCHASE PLAN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 SCOPE AND ADMINISTRATION OF THE PLAN</w:t>
      </w:r>
    </w:p>
    <w:p>
      <w:pPr>
        <w:spacing w:after="0" w:line="211" w:lineRule="exact"/>
        <w:rPr>
          <w:sz w:val="20"/>
          <w:szCs w:val="20"/>
          <w:color w:val="auto"/>
        </w:rPr>
      </w:pPr>
    </w:p>
    <w:p>
      <w:pPr>
        <w:jc w:val="both"/>
        <w:ind w:right="20" w:firstLine="1321"/>
        <w:spacing w:after="0" w:line="259"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Purpose and Scope</w:t>
      </w:r>
      <w:r>
        <w:rPr>
          <w:rFonts w:ascii="Arial" w:cs="Arial" w:eastAsia="Arial" w:hAnsi="Arial"/>
          <w:sz w:val="18"/>
          <w:szCs w:val="18"/>
          <w:color w:val="auto"/>
        </w:rPr>
        <w:t>. The purpose of the Corsair Gaming, Inc. 2020 Employee Stock Purchase Plan, as it may be amended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 is to assist employees of Corsair Gaming,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its Designated Subsidiaries in acquiring a stock ownership interest in the Company and to help such employees provide for their future security and to encourage them to remain in the employment of the Company and its Subsidiaries.</w:t>
      </w:r>
    </w:p>
    <w:p>
      <w:pPr>
        <w:spacing w:after="0" w:line="187" w:lineRule="exact"/>
        <w:rPr>
          <w:sz w:val="20"/>
          <w:szCs w:val="20"/>
          <w:color w:val="auto"/>
        </w:rPr>
      </w:pPr>
    </w:p>
    <w:p>
      <w:pPr>
        <w:ind w:right="40" w:firstLine="586"/>
        <w:spacing w:after="0" w:line="270" w:lineRule="auto"/>
        <w:rPr>
          <w:sz w:val="20"/>
          <w:szCs w:val="20"/>
          <w:color w:val="auto"/>
        </w:rPr>
      </w:pPr>
      <w:r>
        <w:rPr>
          <w:rFonts w:ascii="Arial" w:cs="Arial" w:eastAsia="Arial" w:hAnsi="Arial"/>
          <w:sz w:val="17"/>
          <w:szCs w:val="17"/>
          <w:color w:val="auto"/>
        </w:rPr>
        <w:t>The Plan consists of two components: the Section 423 Component and the Non-Section 423 Component. The Section 423 Component is intended to qualify as an “employee stock purchase plan” under Section 423 of the Code and shall be administered, interpreted and construed in a manner consistent with the requirements of Section 423 of the Code. In addition, this Plan authorizes the grant of Options under the Non-Section 423 Component, which need not qualify as Options granted pursuant to an “employee stock purchase plan” under Section 423 of the Code; such Options granted under the Non-Section 423 Component shall be granted pursuant to separate Offerings containing such sub-plans, appendices, rules or procedures as may be adopted by the Administrator and designed to achieve tax, securities laws or other objectives for Eligible Employees and the Designated Subsidiaries in locations outside of the United States. Except as otherwise provided herein, the Non-Section 423 Component will operate and be administered in the same manner as the Section 423 Component. Offerings intended to be made under the Non-Section 423 Component will be designated as such by the Administrator at or prior to the time of such Offering.</w:t>
      </w:r>
    </w:p>
    <w:p>
      <w:pPr>
        <w:spacing w:after="0" w:line="181" w:lineRule="exact"/>
        <w:rPr>
          <w:sz w:val="20"/>
          <w:szCs w:val="20"/>
          <w:color w:val="auto"/>
        </w:rPr>
      </w:pPr>
    </w:p>
    <w:p>
      <w:pPr>
        <w:ind w:right="100" w:firstLine="586"/>
        <w:spacing w:after="0" w:line="257" w:lineRule="auto"/>
        <w:rPr>
          <w:sz w:val="20"/>
          <w:szCs w:val="20"/>
          <w:color w:val="auto"/>
        </w:rPr>
      </w:pPr>
      <w:r>
        <w:rPr>
          <w:rFonts w:ascii="Arial" w:cs="Arial" w:eastAsia="Arial" w:hAnsi="Arial"/>
          <w:sz w:val="18"/>
          <w:szCs w:val="18"/>
          <w:color w:val="auto"/>
        </w:rPr>
        <w:t>For purposes of this Plan, the Administrator may designate separate Offerings under the Plan, the terms of which need not be identical, in which Eligible Employees will participate, even if the dates of the applicable Offering Period(s) in each such Offering is identical, provided that the terms of participation are the same within each separate Offering under the Section 423 Component as determined under Section 423 of the Code. Solely by way of example and without limiting the foregoing, the Company could, but shall not be required to, provide for simultaneous Offerings under the Section 423 Component and the Non-Section 423 Component of the Plan.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right="240" w:firstLine="1321"/>
        <w:spacing w:after="0" w:line="277" w:lineRule="auto"/>
        <w:rPr>
          <w:sz w:val="20"/>
          <w:szCs w:val="20"/>
          <w:color w:val="auto"/>
        </w:rPr>
      </w:pPr>
      <w:r>
        <w:rPr>
          <w:rFonts w:ascii="Arial" w:cs="Arial" w:eastAsia="Arial" w:hAnsi="Arial"/>
          <w:sz w:val="18"/>
          <w:szCs w:val="18"/>
          <w:color w:val="auto"/>
        </w:rPr>
        <w:t>Whenever the following terms are used in the Plan, they shall have the meaning specified below unless the context clearly indicates to the contrary. The singular pronoun shall include the plural where the context so indicates.</w:t>
      </w:r>
    </w:p>
    <w:p>
      <w:pPr>
        <w:spacing w:after="0" w:line="170" w:lineRule="exact"/>
        <w:rPr>
          <w:sz w:val="20"/>
          <w:szCs w:val="20"/>
          <w:color w:val="auto"/>
        </w:rPr>
      </w:pPr>
    </w:p>
    <w:p>
      <w:pPr>
        <w:ind w:right="240" w:firstLine="1321"/>
        <w:spacing w:after="0" w:line="277" w:lineRule="auto"/>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Administrator</w:t>
      </w:r>
      <w:r>
        <w:rPr>
          <w:rFonts w:ascii="Arial" w:cs="Arial" w:eastAsia="Arial" w:hAnsi="Arial"/>
          <w:sz w:val="18"/>
          <w:szCs w:val="18"/>
          <w:color w:val="auto"/>
        </w:rPr>
        <w:t>” shall mean the Committee, or such individuals to which authority to administer the Plan has been delegated under Section 7.1 hereof.</w:t>
      </w:r>
    </w:p>
    <w:p>
      <w:pPr>
        <w:spacing w:after="0" w:line="170" w:lineRule="exact"/>
        <w:rPr>
          <w:sz w:val="20"/>
          <w:szCs w:val="20"/>
          <w:color w:val="auto"/>
        </w:rPr>
      </w:pPr>
    </w:p>
    <w:p>
      <w:pPr>
        <w:ind w:right="400" w:firstLine="1321"/>
        <w:spacing w:after="0" w:line="277" w:lineRule="auto"/>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Agent</w:t>
      </w:r>
      <w:r>
        <w:rPr>
          <w:rFonts w:ascii="Arial" w:cs="Arial" w:eastAsia="Arial" w:hAnsi="Arial"/>
          <w:sz w:val="18"/>
          <w:szCs w:val="18"/>
          <w:color w:val="auto"/>
        </w:rPr>
        <w:t>” means the brokerage firm, bank or other financial institution, entity or person(s), if any, engaged, retained, appointed or authorized to act as the agent of the Company or an Employee with regard to the Plan.</w:t>
      </w:r>
    </w:p>
    <w:p>
      <w:pPr>
        <w:spacing w:after="0" w:line="170"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2.3 “</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Company.</w:t>
      </w:r>
    </w:p>
    <w:p>
      <w:pPr>
        <w:spacing w:after="0" w:line="22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Code</w:t>
      </w:r>
      <w:r>
        <w:rPr>
          <w:rFonts w:ascii="Arial" w:cs="Arial" w:eastAsia="Arial" w:hAnsi="Arial"/>
          <w:sz w:val="18"/>
          <w:szCs w:val="18"/>
          <w:color w:val="auto"/>
        </w:rPr>
        <w:t>” shall mean the U.S. Internal Revenue Code of 1986, as amended.</w:t>
      </w:r>
    </w:p>
    <w:p>
      <w:pPr>
        <w:spacing w:after="0" w:line="22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2.5 “</w:t>
      </w:r>
      <w:r>
        <w:rPr>
          <w:rFonts w:ascii="Arial" w:cs="Arial" w:eastAsia="Arial" w:hAnsi="Arial"/>
          <w:sz w:val="18"/>
          <w:szCs w:val="18"/>
          <w:u w:val="single" w:color="auto"/>
          <w:color w:val="auto"/>
        </w:rPr>
        <w:t>Committee</w:t>
      </w:r>
      <w:r>
        <w:rPr>
          <w:rFonts w:ascii="Arial" w:cs="Arial" w:eastAsia="Arial" w:hAnsi="Arial"/>
          <w:sz w:val="18"/>
          <w:szCs w:val="18"/>
          <w:color w:val="auto"/>
        </w:rPr>
        <w:t>” shall mean the Compensation Committee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366395</wp:posOffset>
            </wp:positionV>
            <wp:extent cx="714946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8" w:name="page109"/>
    <w:bookmarkEnd w:id="108"/>
    <w:p>
      <w:pPr>
        <w:ind w:left="1320"/>
        <w:spacing w:after="0"/>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Common Stock</w:t>
      </w:r>
      <w:r>
        <w:rPr>
          <w:rFonts w:ascii="Arial" w:cs="Arial" w:eastAsia="Arial" w:hAnsi="Arial"/>
          <w:sz w:val="18"/>
          <w:szCs w:val="18"/>
          <w:color w:val="auto"/>
        </w:rPr>
        <w:t>” shall mean the common stock of the Company.</w:t>
      </w:r>
    </w:p>
    <w:p>
      <w:pPr>
        <w:spacing w:after="0" w:line="22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2.7 “</w:t>
      </w:r>
      <w:r>
        <w:rPr>
          <w:rFonts w:ascii="Arial" w:cs="Arial" w:eastAsia="Arial" w:hAnsi="Arial"/>
          <w:sz w:val="18"/>
          <w:szCs w:val="18"/>
          <w:u w:val="single" w:color="auto"/>
          <w:color w:val="auto"/>
        </w:rPr>
        <w:t>Company</w:t>
      </w:r>
      <w:r>
        <w:rPr>
          <w:rFonts w:ascii="Arial" w:cs="Arial" w:eastAsia="Arial" w:hAnsi="Arial"/>
          <w:sz w:val="18"/>
          <w:szCs w:val="18"/>
          <w:color w:val="auto"/>
        </w:rPr>
        <w:t>” shall have such meaning as set forth in Section 1.1 hereof.</w:t>
      </w:r>
    </w:p>
    <w:p>
      <w:pPr>
        <w:spacing w:after="0" w:line="225" w:lineRule="exact"/>
        <w:rPr>
          <w:sz w:val="20"/>
          <w:szCs w:val="20"/>
          <w:color w:val="auto"/>
        </w:rPr>
      </w:pPr>
    </w:p>
    <w:p>
      <w:pPr>
        <w:ind w:right="120" w:firstLine="1321"/>
        <w:spacing w:after="0" w:line="269" w:lineRule="auto"/>
        <w:rPr>
          <w:sz w:val="20"/>
          <w:szCs w:val="20"/>
          <w:color w:val="auto"/>
        </w:rPr>
      </w:pPr>
      <w:r>
        <w:rPr>
          <w:rFonts w:ascii="Arial" w:cs="Arial" w:eastAsia="Arial" w:hAnsi="Arial"/>
          <w:sz w:val="17"/>
          <w:szCs w:val="17"/>
          <w:color w:val="auto"/>
        </w:rPr>
        <w:t>2.8 “</w:t>
      </w:r>
      <w:r>
        <w:rPr>
          <w:rFonts w:ascii="Arial" w:cs="Arial" w:eastAsia="Arial" w:hAnsi="Arial"/>
          <w:sz w:val="17"/>
          <w:szCs w:val="17"/>
          <w:u w:val="single" w:color="auto"/>
          <w:color w:val="auto"/>
        </w:rPr>
        <w:t>Compensation</w:t>
      </w:r>
      <w:r>
        <w:rPr>
          <w:rFonts w:ascii="Arial" w:cs="Arial" w:eastAsia="Arial" w:hAnsi="Arial"/>
          <w:sz w:val="17"/>
          <w:szCs w:val="17"/>
          <w:color w:val="auto"/>
        </w:rPr>
        <w:t>” of an Employee shall mean the regular earnings or base salary paid to the Employee from the Company on each Payday as compensation for services to the Company or any Designated Subsidiary, before deduction for any salary deferral contributions made by the Employee to any tax-qualified or nonqualified deferred compensation plan, including overtime, shift differentials, vacation pay, salaried production schedule premiums, holiday pay, jury duty pay, funeral leave pay, paid time off, military pay and prior week adjustments, but excluding bonuses, commissions, education or tuition reimbursements, imputed income arising under any group insurance or benefit program, travel expenses, business and moving reimbursements, including tax gross ups and taxable mileage allowance, income received in connection with any stock options, restricted stock, restricted stock units or other compensatory equity awards and all contributions made by the Company or any Designated Subsidiary for the Employee’s benefit under any employee benefit plan now or hereafter established.. For any Participants in non-U.S. jurisdictions, any equivalent amounts of the foregoing compensation shall be determined by the Administrator. Such Compensation shall be calculated before deduction of any income or employment tax withholdings, but shall be withheld from the Employee’s net income.</w:t>
      </w:r>
    </w:p>
    <w:p>
      <w:pPr>
        <w:spacing w:after="0" w:line="185" w:lineRule="exact"/>
        <w:rPr>
          <w:sz w:val="20"/>
          <w:szCs w:val="20"/>
          <w:color w:val="auto"/>
        </w:rPr>
      </w:pPr>
    </w:p>
    <w:p>
      <w:pPr>
        <w:ind w:right="20" w:firstLine="1321"/>
        <w:spacing w:after="0" w:line="272" w:lineRule="auto"/>
        <w:rPr>
          <w:sz w:val="20"/>
          <w:szCs w:val="20"/>
          <w:color w:val="auto"/>
        </w:rPr>
      </w:pPr>
      <w:r>
        <w:rPr>
          <w:rFonts w:ascii="Arial" w:cs="Arial" w:eastAsia="Arial" w:hAnsi="Arial"/>
          <w:sz w:val="17"/>
          <w:szCs w:val="17"/>
          <w:color w:val="auto"/>
        </w:rPr>
        <w:t>2.9 “</w:t>
      </w:r>
      <w:r>
        <w:rPr>
          <w:rFonts w:ascii="Arial" w:cs="Arial" w:eastAsia="Arial" w:hAnsi="Arial"/>
          <w:sz w:val="17"/>
          <w:szCs w:val="17"/>
          <w:u w:val="single" w:color="auto"/>
          <w:color w:val="auto"/>
        </w:rPr>
        <w:t>Designated Subsidiary</w:t>
      </w:r>
      <w:r>
        <w:rPr>
          <w:rFonts w:ascii="Arial" w:cs="Arial" w:eastAsia="Arial" w:hAnsi="Arial"/>
          <w:sz w:val="17"/>
          <w:szCs w:val="17"/>
          <w:color w:val="auto"/>
        </w:rPr>
        <w:t>” shall mean each Subsidiary that has been designated by the Board or Committee from time to time in its sole discretion as eligible to participate in the Plan, including any Subsidiary in existence on the Effective Date and any Subsidiary formed or acquired following the Effective Date, in accordance with Section 7.2 hereof, such designation to specify whether such participation is in the Section 423 Component or Non-Section 423 Component. A Designated Subsidiary may participate in either the Section 423 Component or Non-Section 423 Component, but not both. The designation by the Administrator of Designated Subsidiaries and changes in such designations by the Administrator shall not require stockholder approval. Only Subsidiary Corporations may be designated as Designated Subsidiaries for purposes of the Section 423 Component, and if an entity does not so qualify, it shall automatically be deemed to be a Designated Subsidiary in the Non-Section 423 Component.</w:t>
      </w:r>
    </w:p>
    <w:p>
      <w:pPr>
        <w:spacing w:after="0" w:line="177" w:lineRule="exact"/>
        <w:rPr>
          <w:sz w:val="20"/>
          <w:szCs w:val="20"/>
          <w:color w:val="auto"/>
        </w:rPr>
      </w:pPr>
    </w:p>
    <w:p>
      <w:pPr>
        <w:ind w:right="380" w:firstLine="1321"/>
        <w:spacing w:after="0" w:line="263" w:lineRule="auto"/>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shall mean the date immediately prior to the date Company’s registration statement relating to its initial public offering becomes effective,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Board has adopted the Plan prior to or on such date, subject to approval of the Plan by the Company’s stockholders.</w:t>
      </w:r>
    </w:p>
    <w:p>
      <w:pPr>
        <w:spacing w:after="0" w:line="184" w:lineRule="exact"/>
        <w:rPr>
          <w:sz w:val="20"/>
          <w:szCs w:val="20"/>
          <w:color w:val="auto"/>
        </w:rPr>
      </w:pPr>
    </w:p>
    <w:p>
      <w:pPr>
        <w:ind w:firstLine="1321"/>
        <w:spacing w:after="0" w:line="285" w:lineRule="auto"/>
        <w:rPr>
          <w:sz w:val="20"/>
          <w:szCs w:val="20"/>
          <w:color w:val="auto"/>
        </w:rPr>
      </w:pPr>
      <w:r>
        <w:rPr>
          <w:rFonts w:ascii="Arial" w:cs="Arial" w:eastAsia="Arial" w:hAnsi="Arial"/>
          <w:sz w:val="16"/>
          <w:szCs w:val="16"/>
          <w:color w:val="auto"/>
        </w:rPr>
        <w:t>2.11 “</w:t>
      </w:r>
      <w:r>
        <w:rPr>
          <w:rFonts w:ascii="Arial" w:cs="Arial" w:eastAsia="Arial" w:hAnsi="Arial"/>
          <w:sz w:val="16"/>
          <w:szCs w:val="16"/>
          <w:u w:val="single" w:color="auto"/>
          <w:color w:val="auto"/>
        </w:rPr>
        <w:t>Eligible Employee</w:t>
      </w:r>
      <w:r>
        <w:rPr>
          <w:rFonts w:ascii="Arial" w:cs="Arial" w:eastAsia="Arial" w:hAnsi="Arial"/>
          <w:sz w:val="16"/>
          <w:szCs w:val="16"/>
          <w:color w:val="auto"/>
        </w:rPr>
        <w:t xml:space="preserve">” shall mean an Employee of the Company or a Designated Subsidiary who does not, immediately after any rights under this Plan are granted, own (directly or through attribution) stock possessing five percent (5%) or more of the total combined voting power or value of all classes of Common Stock or other stock of the Company, a Parent or a Subsidiary Corporation (as determined under Section 423(b)(3) of the Code). For purposes of the foregoing sentence, the rules of Section 424(d) of the Code with regard to the attribution of stock ownership shall apply in determining the stock ownership of an individual, and stock that an Employee may purchase under outstanding options shall be treated as stock owned by the Employee;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xml:space="preserve">, that the Administrator may provide in an Offering Document that an Employee shall not be eligible to participate in an Offering if: (a) such Employee’s customary employment is for twenty hours or less per week; (b) such Employee’s customary employment is for less than five months in any calendar year; (c) such Employee is a highly compensated employee within the meaning of Section 423(b)(4)(D) of the Code, (d) such Employee has not met a service requirement designated by the Administrator pursuant to Section 423(b)(4)(A) of the Code (which service requirement may not exceed two years), and/or (e) such Employee is a citizen or resident of a foreign jurisdiction if the grant of a right to purchase Common Stock under the Plan to such Employee would be prohibited under the laws of such foreign jurisdiction or the grant of an option to such Employee in compliance with the laws of such foreign jurisdiction would cause the Section 423 Component, any Offering or any purchase right to violate the requirements of Section 423 of the Code, as determined by the Administrator in its sole discretion;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further</w:t>
      </w:r>
      <w:r>
        <w:rPr>
          <w:rFonts w:ascii="Arial" w:cs="Arial" w:eastAsia="Arial" w:hAnsi="Arial"/>
          <w:sz w:val="16"/>
          <w:szCs w:val="16"/>
          <w:color w:val="auto"/>
        </w:rPr>
        <w:t>, that any exclusion in clauses (a), (b), (c), (d) or (e) shall be applied in an identical manner under each Offering to all Employees of the Designated Subsidiaries in such Offering, in accordance with Treasury Regulation Section 1.423-2(e). With respect to the Non-Section 423 Component, all of the foregoing rules shall apply in determining who is an “Eligible Employee,” except (A) the Administrator may limit eligibility further within a Designated Subsidiary so as to only designate some Employees of a Designated Subsidiary as Eligible Employees, and (B) to the extent the foregoing eligibility rules are not consistent with applicable local laws.</w:t>
      </w:r>
    </w:p>
    <w:p>
      <w:pPr>
        <w:spacing w:after="0" w:line="174"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9" w:name="page110"/>
    <w:bookmarkEnd w:id="109"/>
    <w:p>
      <w:pPr>
        <w:ind w:firstLine="1321"/>
        <w:spacing w:after="0" w:line="269" w:lineRule="auto"/>
        <w:rPr>
          <w:sz w:val="20"/>
          <w:szCs w:val="20"/>
          <w:color w:val="auto"/>
        </w:rPr>
      </w:pPr>
      <w:r>
        <w:rPr>
          <w:rFonts w:ascii="Arial" w:cs="Arial" w:eastAsia="Arial" w:hAnsi="Arial"/>
          <w:sz w:val="17"/>
          <w:szCs w:val="17"/>
          <w:color w:val="auto"/>
        </w:rPr>
        <w:t>2.12 “</w:t>
      </w:r>
      <w:r>
        <w:rPr>
          <w:rFonts w:ascii="Arial" w:cs="Arial" w:eastAsia="Arial" w:hAnsi="Arial"/>
          <w:sz w:val="17"/>
          <w:szCs w:val="17"/>
          <w:u w:val="single" w:color="auto"/>
          <w:color w:val="auto"/>
        </w:rPr>
        <w:t>Employee</w:t>
      </w:r>
      <w:r>
        <w:rPr>
          <w:rFonts w:ascii="Arial" w:cs="Arial" w:eastAsia="Arial" w:hAnsi="Arial"/>
          <w:sz w:val="17"/>
          <w:szCs w:val="17"/>
          <w:color w:val="auto"/>
        </w:rPr>
        <w:t>” shall mean any person who renders services to the Company or a Designated Subsidiary in the status of an employee, and, with respect to the Section 423 Component, a person who is an officer or other employee (as defined in accordance with Section 3401(c) of the Code). For purposes of the Section 423 Component, “Employee” shall not include any director of the Company or a Designated Subsidiary who does not render services to the Company or a Designated Subsidiary in the status of an employee within the meaning of Section 3401(c) of the Code. For purposes of the Plan, the employment relationship shall be treated as continuing intact while the individual is on military leave, sick leave or other leave of absence approved by the Company or Designated Subsidiary and, which for purposes of the Section 423 Component, must meet the requirements of Treasury Regulation Section 1.421-1(h)(2). For purposes of the Section 423 Component, where the period of leave exceeds three (3) months, or such other period specified in Treasury Regulation Section 1.421-1(h)(2), and the individual’s right to reemployment is not guaranteed either by statute or by contract, the employment relationship shall be deemed to have terminated on the first day immediately following such three (3)-month period, or such other period specified in Treasury Regulation Section 1.421-1(h)(2).</w:t>
      </w:r>
    </w:p>
    <w:p>
      <w:pPr>
        <w:spacing w:after="0" w:line="18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2.13 “</w:t>
      </w:r>
      <w:r>
        <w:rPr>
          <w:rFonts w:ascii="Arial" w:cs="Arial" w:eastAsia="Arial" w:hAnsi="Arial"/>
          <w:sz w:val="18"/>
          <w:szCs w:val="18"/>
          <w:u w:val="single" w:color="auto"/>
          <w:color w:val="auto"/>
        </w:rPr>
        <w:t>Enrollment Date</w:t>
      </w:r>
      <w:r>
        <w:rPr>
          <w:rFonts w:ascii="Arial" w:cs="Arial" w:eastAsia="Arial" w:hAnsi="Arial"/>
          <w:sz w:val="18"/>
          <w:szCs w:val="18"/>
          <w:color w:val="auto"/>
        </w:rPr>
        <w:t>” shall mean the first date of each Offering Period.</w:t>
      </w:r>
    </w:p>
    <w:p>
      <w:pPr>
        <w:spacing w:after="0" w:line="22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2.14 “</w:t>
      </w:r>
      <w:r>
        <w:rPr>
          <w:rFonts w:ascii="Arial" w:cs="Arial" w:eastAsia="Arial" w:hAnsi="Arial"/>
          <w:sz w:val="18"/>
          <w:szCs w:val="18"/>
          <w:u w:val="single" w:color="auto"/>
          <w:color w:val="auto"/>
        </w:rPr>
        <w:t>Exercise Date</w:t>
      </w:r>
      <w:r>
        <w:rPr>
          <w:rFonts w:ascii="Arial" w:cs="Arial" w:eastAsia="Arial" w:hAnsi="Arial"/>
          <w:sz w:val="18"/>
          <w:szCs w:val="18"/>
          <w:color w:val="auto"/>
        </w:rPr>
        <w:t>” shall mean the last Trading Day of each Offering Period, except as provided in Section 5.2 hereof.</w:t>
      </w:r>
    </w:p>
    <w:p>
      <w:pPr>
        <w:spacing w:after="0" w:line="22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2.15 “</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w:t>
      </w:r>
    </w:p>
    <w:p>
      <w:pPr>
        <w:spacing w:after="0" w:line="22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2.16 “</w:t>
      </w:r>
      <w:r>
        <w:rPr>
          <w:rFonts w:ascii="Arial" w:cs="Arial" w:eastAsia="Arial" w:hAnsi="Arial"/>
          <w:sz w:val="18"/>
          <w:szCs w:val="18"/>
          <w:u w:val="single" w:color="auto"/>
          <w:color w:val="auto"/>
        </w:rPr>
        <w:t>Fair Market Value</w:t>
      </w:r>
      <w:r>
        <w:rPr>
          <w:rFonts w:ascii="Arial" w:cs="Arial" w:eastAsia="Arial" w:hAnsi="Arial"/>
          <w:sz w:val="18"/>
          <w:szCs w:val="18"/>
          <w:color w:val="auto"/>
        </w:rPr>
        <w:t>” shall mean, as of any date, the value of Common Stock determined as follows:</w:t>
      </w:r>
    </w:p>
    <w:p>
      <w:pPr>
        <w:spacing w:after="0" w:line="225" w:lineRule="exact"/>
        <w:rPr>
          <w:sz w:val="20"/>
          <w:szCs w:val="20"/>
          <w:color w:val="auto"/>
        </w:rPr>
      </w:pPr>
    </w:p>
    <w:p>
      <w:pPr>
        <w:jc w:val="both"/>
        <w:ind w:right="60" w:firstLine="1917"/>
        <w:spacing w:after="0" w:line="296" w:lineRule="auto"/>
        <w:tabs>
          <w:tab w:leader="none" w:pos="2154"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If the Common Stock is (i) listed on any established securities exchange (such as the New York Stock Exchange, the NASDAQ Global Market and the NASDAQ Global Select Market), (ii) listed on any national market system or (iii) listed, quoted or traded on any automated quotation system, its Fair Market Value shall be the closing sales price for a share of Common Stock as quoted on such exchange or system for such date or, if there is no closing sales price for a share of Common Stock on the date in question, the closing sales price for a share of Common Stock on the last preceding date for which such quotation exists,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or such other source as the Administrator deems reliable;</w:t>
      </w:r>
    </w:p>
    <w:p>
      <w:pPr>
        <w:spacing w:after="0" w:line="161" w:lineRule="exact"/>
        <w:rPr>
          <w:rFonts w:ascii="Arial" w:cs="Arial" w:eastAsia="Arial" w:hAnsi="Arial"/>
          <w:sz w:val="16"/>
          <w:szCs w:val="16"/>
          <w:color w:val="auto"/>
        </w:rPr>
      </w:pPr>
    </w:p>
    <w:p>
      <w:pPr>
        <w:ind w:right="80" w:firstLine="1917"/>
        <w:spacing w:after="0" w:line="257" w:lineRule="auto"/>
        <w:tabs>
          <w:tab w:leader="none" w:pos="2164"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If the Common Stock is not listed on an established securities exchange, national market system or automated quotation system, but the Common Stock is regularly quoted by a recognized securities dealer, its Fair Market Value shall be the mean of the high bid and low asked prices for such date or, if there are no high bid and low asked prices for a share of Common Stock on such date, the high bid and low asked prices for a share of Common Stock on the last preceding date for which such information exists,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Administrator deems reliable; or</w:t>
      </w:r>
    </w:p>
    <w:p>
      <w:pPr>
        <w:spacing w:after="0" w:line="187" w:lineRule="exact"/>
        <w:rPr>
          <w:rFonts w:ascii="Arial" w:cs="Arial" w:eastAsia="Arial" w:hAnsi="Arial"/>
          <w:sz w:val="18"/>
          <w:szCs w:val="18"/>
          <w:color w:val="auto"/>
        </w:rPr>
      </w:pPr>
    </w:p>
    <w:p>
      <w:pPr>
        <w:ind w:right="140" w:firstLine="1917"/>
        <w:spacing w:after="0" w:line="342" w:lineRule="auto"/>
        <w:tabs>
          <w:tab w:leader="none" w:pos="2154" w:val="left"/>
        </w:tabs>
        <w:numPr>
          <w:ilvl w:val="0"/>
          <w:numId w:val="57"/>
        </w:numPr>
        <w:rPr>
          <w:rFonts w:ascii="Arial" w:cs="Arial" w:eastAsia="Arial" w:hAnsi="Arial"/>
          <w:sz w:val="16"/>
          <w:szCs w:val="16"/>
          <w:color w:val="auto"/>
        </w:rPr>
      </w:pPr>
      <w:r>
        <w:rPr>
          <w:rFonts w:ascii="Arial" w:cs="Arial" w:eastAsia="Arial" w:hAnsi="Arial"/>
          <w:sz w:val="16"/>
          <w:szCs w:val="16"/>
          <w:color w:val="auto"/>
        </w:rPr>
        <w:t>If the Common Stock is neither listed on an established securities exchange, national market system or automated quotation system nor regularly quoted by a recognized securities dealer, its Fair Market Value shall be established by the Administrator in good faith.</w:t>
      </w:r>
    </w:p>
    <w:p>
      <w:pPr>
        <w:spacing w:after="0" w:line="124"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2.17 “</w:t>
      </w:r>
      <w:r>
        <w:rPr>
          <w:rFonts w:ascii="Arial" w:cs="Arial" w:eastAsia="Arial" w:hAnsi="Arial"/>
          <w:sz w:val="18"/>
          <w:szCs w:val="18"/>
          <w:u w:val="single" w:color="auto"/>
          <w:color w:val="auto"/>
        </w:rPr>
        <w:t>Grant Date</w:t>
      </w:r>
      <w:r>
        <w:rPr>
          <w:rFonts w:ascii="Arial" w:cs="Arial" w:eastAsia="Arial" w:hAnsi="Arial"/>
          <w:sz w:val="18"/>
          <w:szCs w:val="18"/>
          <w:color w:val="auto"/>
        </w:rPr>
        <w:t>” shall mean the first Trading Day of an Offering Period.</w:t>
      </w:r>
    </w:p>
    <w:p>
      <w:pPr>
        <w:spacing w:after="0" w:line="22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2.18 “</w:t>
      </w:r>
      <w:r>
        <w:rPr>
          <w:rFonts w:ascii="Arial" w:cs="Arial" w:eastAsia="Arial" w:hAnsi="Arial"/>
          <w:sz w:val="18"/>
          <w:szCs w:val="18"/>
          <w:u w:val="single" w:color="auto"/>
          <w:color w:val="auto"/>
        </w:rPr>
        <w:t>New Exercise Date</w:t>
      </w:r>
      <w:r>
        <w:rPr>
          <w:rFonts w:ascii="Arial" w:cs="Arial" w:eastAsia="Arial" w:hAnsi="Arial"/>
          <w:sz w:val="18"/>
          <w:szCs w:val="18"/>
          <w:color w:val="auto"/>
        </w:rPr>
        <w:t>” shall have such meaning as set forth in Section 5.2(b) hereof.</w:t>
      </w:r>
    </w:p>
    <w:p>
      <w:pPr>
        <w:spacing w:after="0" w:line="225" w:lineRule="exact"/>
        <w:rPr>
          <w:sz w:val="20"/>
          <w:szCs w:val="20"/>
          <w:color w:val="auto"/>
        </w:rPr>
      </w:pPr>
    </w:p>
    <w:p>
      <w:pPr>
        <w:ind w:right="60" w:firstLine="1321"/>
        <w:spacing w:after="0" w:line="311" w:lineRule="auto"/>
        <w:rPr>
          <w:sz w:val="20"/>
          <w:szCs w:val="20"/>
          <w:color w:val="auto"/>
        </w:rPr>
      </w:pPr>
      <w:r>
        <w:rPr>
          <w:rFonts w:ascii="Arial" w:cs="Arial" w:eastAsia="Arial" w:hAnsi="Arial"/>
          <w:sz w:val="16"/>
          <w:szCs w:val="16"/>
          <w:color w:val="auto"/>
        </w:rPr>
        <w:t>2.19 “</w:t>
      </w:r>
      <w:r>
        <w:rPr>
          <w:rFonts w:ascii="Arial" w:cs="Arial" w:eastAsia="Arial" w:hAnsi="Arial"/>
          <w:sz w:val="16"/>
          <w:szCs w:val="16"/>
          <w:u w:val="single" w:color="auto"/>
          <w:color w:val="auto"/>
        </w:rPr>
        <w:t>Non-Section 423 Component</w:t>
      </w:r>
      <w:r>
        <w:rPr>
          <w:rFonts w:ascii="Arial" w:cs="Arial" w:eastAsia="Arial" w:hAnsi="Arial"/>
          <w:sz w:val="16"/>
          <w:szCs w:val="16"/>
          <w:color w:val="auto"/>
        </w:rPr>
        <w:t>” means those Offerings under the Plan, together with the sub-plans, appendices, rules or procedures, if any, adopted by the Administrator as a part of this Plan, in each case, pursuant to which Options may be granted to non-U.S. Eligible Employees that need not satisfy the requirements for Options granted pursuant to an “employee stock purchase plan” that are set forth under Section 423 of the Code.</w:t>
      </w:r>
    </w:p>
    <w:p>
      <w:pPr>
        <w:spacing w:after="0" w:line="149" w:lineRule="exact"/>
        <w:rPr>
          <w:sz w:val="20"/>
          <w:szCs w:val="20"/>
          <w:color w:val="auto"/>
        </w:rPr>
      </w:pPr>
    </w:p>
    <w:p>
      <w:pPr>
        <w:ind w:right="280" w:firstLine="1321"/>
        <w:spacing w:after="0" w:line="263" w:lineRule="auto"/>
        <w:rPr>
          <w:sz w:val="20"/>
          <w:szCs w:val="20"/>
          <w:color w:val="auto"/>
        </w:rPr>
      </w:pPr>
      <w:r>
        <w:rPr>
          <w:rFonts w:ascii="Arial" w:cs="Arial" w:eastAsia="Arial" w:hAnsi="Arial"/>
          <w:sz w:val="18"/>
          <w:szCs w:val="18"/>
          <w:color w:val="auto"/>
        </w:rPr>
        <w:t>2.20 “</w:t>
      </w:r>
      <w:r>
        <w:rPr>
          <w:rFonts w:ascii="Arial" w:cs="Arial" w:eastAsia="Arial" w:hAnsi="Arial"/>
          <w:sz w:val="18"/>
          <w:szCs w:val="18"/>
          <w:u w:val="single" w:color="auto"/>
          <w:color w:val="auto"/>
        </w:rPr>
        <w:t>Offering</w:t>
      </w:r>
      <w:r>
        <w:rPr>
          <w:rFonts w:ascii="Arial" w:cs="Arial" w:eastAsia="Arial" w:hAnsi="Arial"/>
          <w:sz w:val="18"/>
          <w:szCs w:val="18"/>
          <w:color w:val="auto"/>
        </w:rPr>
        <w:t>” means an offer under the Plan of an Option that may be exercised during an Offering Period as further described in Section 4 hereof. Unless otherwise specified by the Administrator, each Offering to the Eligible Employees of the Company or a Designated Subsidiary shall be deemed a separate Offering, even if the</w:t>
      </w:r>
    </w:p>
    <w:p>
      <w:pPr>
        <w:spacing w:after="0" w:line="184"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10" w:name="page111"/>
    <w:bookmarkEnd w:id="110"/>
    <w:p>
      <w:pPr>
        <w:ind w:right="360"/>
        <w:spacing w:after="0" w:line="311" w:lineRule="auto"/>
        <w:rPr>
          <w:sz w:val="20"/>
          <w:szCs w:val="20"/>
          <w:color w:val="auto"/>
        </w:rPr>
      </w:pPr>
      <w:r>
        <w:rPr>
          <w:rFonts w:ascii="Arial" w:cs="Arial" w:eastAsia="Arial" w:hAnsi="Arial"/>
          <w:sz w:val="16"/>
          <w:szCs w:val="16"/>
          <w:color w:val="auto"/>
        </w:rPr>
        <w:t xml:space="preserve">dates and other terms of the applicable Offering Periods of each such Offering are identical and the provisions of the Plan will separately apply to each Offering. To the extent permitted by Treas. Reg. § 1.423-2(a)(1), the terms of each separate Offering under the Section 423 Component need not be identical,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terms of the Section 523 Component and an Offering thereunder together satisfy Treas. Reg. § 1.423-2(a)(2) and (a)(3).</w:t>
      </w:r>
    </w:p>
    <w:p>
      <w:pPr>
        <w:spacing w:after="0" w:line="149" w:lineRule="exact"/>
        <w:rPr>
          <w:sz w:val="20"/>
          <w:szCs w:val="20"/>
          <w:color w:val="auto"/>
        </w:rPr>
      </w:pPr>
    </w:p>
    <w:p>
      <w:pPr>
        <w:ind w:right="40" w:firstLine="1321"/>
        <w:spacing w:after="0" w:line="259" w:lineRule="auto"/>
        <w:rPr>
          <w:sz w:val="20"/>
          <w:szCs w:val="20"/>
          <w:color w:val="auto"/>
        </w:rPr>
      </w:pPr>
      <w:r>
        <w:rPr>
          <w:rFonts w:ascii="Arial" w:cs="Arial" w:eastAsia="Arial" w:hAnsi="Arial"/>
          <w:sz w:val="18"/>
          <w:szCs w:val="18"/>
          <w:color w:val="auto"/>
        </w:rPr>
        <w:t>2.21 “</w:t>
      </w:r>
      <w:r>
        <w:rPr>
          <w:rFonts w:ascii="Arial" w:cs="Arial" w:eastAsia="Arial" w:hAnsi="Arial"/>
          <w:sz w:val="18"/>
          <w:szCs w:val="18"/>
          <w:u w:val="single" w:color="auto"/>
          <w:color w:val="auto"/>
        </w:rPr>
        <w:t>Offering Period</w:t>
      </w:r>
      <w:r>
        <w:rPr>
          <w:rFonts w:ascii="Arial" w:cs="Arial" w:eastAsia="Arial" w:hAnsi="Arial"/>
          <w:sz w:val="18"/>
          <w:szCs w:val="18"/>
          <w:color w:val="auto"/>
        </w:rPr>
        <w:t>” shall mean such period of time commencing on such date(s) as determined by the Board or Committee, in its sole discretion, and with respect to which Options shall be granted to Participants. The duration and timing of Offering Periods may be established or changed by the Board or Committee at any time, in its sole discretion. Notwithstanding the foregoing, in no event may an Offering Period exceed twenty-seven (27) months.</w:t>
      </w:r>
    </w:p>
    <w:p>
      <w:pPr>
        <w:spacing w:after="0" w:line="18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2.22 “</w:t>
      </w:r>
      <w:r>
        <w:rPr>
          <w:rFonts w:ascii="Arial" w:cs="Arial" w:eastAsia="Arial" w:hAnsi="Arial"/>
          <w:sz w:val="18"/>
          <w:szCs w:val="18"/>
          <w:u w:val="single" w:color="auto"/>
          <w:color w:val="auto"/>
        </w:rPr>
        <w:t>Option</w:t>
      </w:r>
      <w:r>
        <w:rPr>
          <w:rFonts w:ascii="Arial" w:cs="Arial" w:eastAsia="Arial" w:hAnsi="Arial"/>
          <w:sz w:val="18"/>
          <w:szCs w:val="18"/>
          <w:color w:val="auto"/>
        </w:rPr>
        <w:t>” shall mean the right to purchase shares of Common Stock pursuant to the Plan during each Offering Period.</w:t>
      </w:r>
    </w:p>
    <w:p>
      <w:pPr>
        <w:spacing w:after="0" w:line="22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2.23 “</w:t>
      </w:r>
      <w:r>
        <w:rPr>
          <w:rFonts w:ascii="Arial" w:cs="Arial" w:eastAsia="Arial" w:hAnsi="Arial"/>
          <w:sz w:val="18"/>
          <w:szCs w:val="18"/>
          <w:u w:val="single" w:color="auto"/>
          <w:color w:val="auto"/>
        </w:rPr>
        <w:t>Option Price</w:t>
      </w:r>
      <w:r>
        <w:rPr>
          <w:rFonts w:ascii="Arial" w:cs="Arial" w:eastAsia="Arial" w:hAnsi="Arial"/>
          <w:sz w:val="18"/>
          <w:szCs w:val="18"/>
          <w:color w:val="auto"/>
        </w:rPr>
        <w:t>” shall mean the purchase price of a share of Common Stock hereunder as provided in Section 4.2 hereof.</w:t>
      </w:r>
    </w:p>
    <w:p>
      <w:pPr>
        <w:spacing w:after="0" w:line="225" w:lineRule="exact"/>
        <w:rPr>
          <w:sz w:val="20"/>
          <w:szCs w:val="20"/>
          <w:color w:val="auto"/>
        </w:rPr>
      </w:pPr>
    </w:p>
    <w:p>
      <w:pPr>
        <w:ind w:right="480" w:firstLine="1321"/>
        <w:spacing w:after="0" w:line="277" w:lineRule="auto"/>
        <w:rPr>
          <w:sz w:val="20"/>
          <w:szCs w:val="20"/>
          <w:color w:val="auto"/>
        </w:rPr>
      </w:pPr>
      <w:r>
        <w:rPr>
          <w:rFonts w:ascii="Arial" w:cs="Arial" w:eastAsia="Arial" w:hAnsi="Arial"/>
          <w:sz w:val="18"/>
          <w:szCs w:val="18"/>
          <w:color w:val="auto"/>
        </w:rPr>
        <w:t>2.24 “</w:t>
      </w:r>
      <w:r>
        <w:rPr>
          <w:rFonts w:ascii="Arial" w:cs="Arial" w:eastAsia="Arial" w:hAnsi="Arial"/>
          <w:sz w:val="18"/>
          <w:szCs w:val="18"/>
          <w:u w:val="single" w:color="auto"/>
          <w:color w:val="auto"/>
        </w:rPr>
        <w:t>Parent</w:t>
      </w:r>
      <w:r>
        <w:rPr>
          <w:rFonts w:ascii="Arial" w:cs="Arial" w:eastAsia="Arial" w:hAnsi="Arial"/>
          <w:sz w:val="18"/>
          <w:szCs w:val="18"/>
          <w:color w:val="auto"/>
        </w:rPr>
        <w:t>” means any entity that is a parent corporation of the Company within the meaning of Section 424 of the Code and the Treasury Regulations thereunder.</w:t>
      </w:r>
    </w:p>
    <w:p>
      <w:pPr>
        <w:spacing w:after="0" w:line="170"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2.25 “</w:t>
      </w:r>
      <w:r>
        <w:rPr>
          <w:rFonts w:ascii="Arial" w:cs="Arial" w:eastAsia="Arial" w:hAnsi="Arial"/>
          <w:sz w:val="18"/>
          <w:szCs w:val="18"/>
          <w:u w:val="single" w:color="auto"/>
          <w:color w:val="auto"/>
        </w:rPr>
        <w:t>Participant</w:t>
      </w:r>
      <w:r>
        <w:rPr>
          <w:rFonts w:ascii="Arial" w:cs="Arial" w:eastAsia="Arial" w:hAnsi="Arial"/>
          <w:sz w:val="18"/>
          <w:szCs w:val="18"/>
          <w:color w:val="auto"/>
        </w:rPr>
        <w:t>” shall mean any Eligible Employee who elects to participate in the Plan.</w:t>
      </w:r>
    </w:p>
    <w:p>
      <w:pPr>
        <w:spacing w:after="0" w:line="225" w:lineRule="exact"/>
        <w:rPr>
          <w:sz w:val="20"/>
          <w:szCs w:val="20"/>
          <w:color w:val="auto"/>
        </w:rPr>
      </w:pPr>
    </w:p>
    <w:p>
      <w:pPr>
        <w:ind w:right="280" w:firstLine="1321"/>
        <w:spacing w:after="0" w:line="277" w:lineRule="auto"/>
        <w:rPr>
          <w:sz w:val="20"/>
          <w:szCs w:val="20"/>
          <w:color w:val="auto"/>
        </w:rPr>
      </w:pPr>
      <w:r>
        <w:rPr>
          <w:rFonts w:ascii="Arial" w:cs="Arial" w:eastAsia="Arial" w:hAnsi="Arial"/>
          <w:sz w:val="18"/>
          <w:szCs w:val="18"/>
          <w:color w:val="auto"/>
        </w:rPr>
        <w:t>2.26 “</w:t>
      </w:r>
      <w:r>
        <w:rPr>
          <w:rFonts w:ascii="Arial" w:cs="Arial" w:eastAsia="Arial" w:hAnsi="Arial"/>
          <w:sz w:val="18"/>
          <w:szCs w:val="18"/>
          <w:u w:val="single" w:color="auto"/>
          <w:color w:val="auto"/>
        </w:rPr>
        <w:t>Payday</w:t>
      </w:r>
      <w:r>
        <w:rPr>
          <w:rFonts w:ascii="Arial" w:cs="Arial" w:eastAsia="Arial" w:hAnsi="Arial"/>
          <w:sz w:val="18"/>
          <w:szCs w:val="18"/>
          <w:color w:val="auto"/>
        </w:rPr>
        <w:t>” shall mean the regular and recurring established day for payment of Compensation to an Employee of the Company or any Designated Subsidiary.</w:t>
      </w:r>
    </w:p>
    <w:p>
      <w:pPr>
        <w:spacing w:after="0" w:line="170" w:lineRule="exact"/>
        <w:rPr>
          <w:sz w:val="20"/>
          <w:szCs w:val="20"/>
          <w:color w:val="auto"/>
        </w:rPr>
      </w:pPr>
    </w:p>
    <w:p>
      <w:pPr>
        <w:jc w:val="both"/>
        <w:ind w:right="20" w:firstLine="1321"/>
        <w:spacing w:after="0" w:line="311" w:lineRule="auto"/>
        <w:rPr>
          <w:sz w:val="20"/>
          <w:szCs w:val="20"/>
          <w:color w:val="auto"/>
        </w:rPr>
      </w:pPr>
      <w:r>
        <w:rPr>
          <w:rFonts w:ascii="Arial" w:cs="Arial" w:eastAsia="Arial" w:hAnsi="Arial"/>
          <w:sz w:val="16"/>
          <w:szCs w:val="16"/>
          <w:color w:val="auto"/>
        </w:rPr>
        <w:t>2.27 “</w:t>
      </w:r>
      <w:r>
        <w:rPr>
          <w:rFonts w:ascii="Arial" w:cs="Arial" w:eastAsia="Arial" w:hAnsi="Arial"/>
          <w:sz w:val="16"/>
          <w:szCs w:val="16"/>
          <w:u w:val="single" w:color="auto"/>
          <w:color w:val="auto"/>
        </w:rPr>
        <w:t>Purchase Period</w:t>
      </w:r>
      <w:r>
        <w:rPr>
          <w:rFonts w:ascii="Arial" w:cs="Arial" w:eastAsia="Arial" w:hAnsi="Arial"/>
          <w:sz w:val="16"/>
          <w:szCs w:val="16"/>
          <w:color w:val="auto"/>
        </w:rPr>
        <w:t>” means such period of time within an Offering Period commencing on such date(s) as determined by the Board or Committee, in its sole discretion. The duration and timing of Purchase Periods may be established or changed by the Board or Committee at any time, in its sole discretion. Notwithstanding the foregoing, in no event may a Purchase Period exceed the duration of the Offering Period under which it is established</w:t>
      </w:r>
    </w:p>
    <w:p>
      <w:pPr>
        <w:spacing w:after="0" w:line="14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2.28 “</w:t>
      </w:r>
      <w:r>
        <w:rPr>
          <w:rFonts w:ascii="Arial" w:cs="Arial" w:eastAsia="Arial" w:hAnsi="Arial"/>
          <w:sz w:val="18"/>
          <w:szCs w:val="18"/>
          <w:u w:val="single" w:color="auto"/>
          <w:color w:val="auto"/>
        </w:rPr>
        <w:t>Plan</w:t>
      </w:r>
      <w:r>
        <w:rPr>
          <w:rFonts w:ascii="Arial" w:cs="Arial" w:eastAsia="Arial" w:hAnsi="Arial"/>
          <w:sz w:val="18"/>
          <w:szCs w:val="18"/>
          <w:color w:val="auto"/>
        </w:rPr>
        <w:t>” shall have such meaning as set forth in Section 1.1 hereof.</w:t>
      </w:r>
    </w:p>
    <w:p>
      <w:pPr>
        <w:spacing w:after="0" w:line="225"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2.29 “</w:t>
      </w:r>
      <w:r>
        <w:rPr>
          <w:rFonts w:ascii="Arial" w:cs="Arial" w:eastAsia="Arial" w:hAnsi="Arial"/>
          <w:sz w:val="16"/>
          <w:szCs w:val="16"/>
          <w:u w:val="single" w:color="auto"/>
          <w:color w:val="auto"/>
        </w:rPr>
        <w:t>Plan Account</w:t>
      </w:r>
      <w:r>
        <w:rPr>
          <w:rFonts w:ascii="Arial" w:cs="Arial" w:eastAsia="Arial" w:hAnsi="Arial"/>
          <w:sz w:val="16"/>
          <w:szCs w:val="16"/>
          <w:color w:val="auto"/>
        </w:rPr>
        <w:t>” shall mean a bookkeeping account established and maintained by the Company in the name of each Participant.</w:t>
      </w:r>
    </w:p>
    <w:p>
      <w:pPr>
        <w:spacing w:after="0" w:line="248"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2.30 “</w:t>
      </w:r>
      <w:r>
        <w:rPr>
          <w:rFonts w:ascii="Arial" w:cs="Arial" w:eastAsia="Arial" w:hAnsi="Arial"/>
          <w:sz w:val="16"/>
          <w:szCs w:val="16"/>
          <w:u w:val="single" w:color="auto"/>
          <w:color w:val="auto"/>
        </w:rPr>
        <w:t>Section 423 Component</w:t>
      </w:r>
      <w:r>
        <w:rPr>
          <w:rFonts w:ascii="Arial" w:cs="Arial" w:eastAsia="Arial" w:hAnsi="Arial"/>
          <w:sz w:val="16"/>
          <w:szCs w:val="16"/>
          <w:color w:val="auto"/>
        </w:rPr>
        <w:t>” means those Offerings under the Plan that are intended to meet the requirements under Section 423(b)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Code.</w:t>
      </w:r>
    </w:p>
    <w:p>
      <w:pPr>
        <w:spacing w:after="0" w:line="21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2.31 “</w:t>
      </w:r>
      <w:r>
        <w:rPr>
          <w:rFonts w:ascii="Arial" w:cs="Arial" w:eastAsia="Arial" w:hAnsi="Arial"/>
          <w:sz w:val="18"/>
          <w:szCs w:val="18"/>
          <w:u w:val="single" w:color="auto"/>
          <w:color w:val="auto"/>
        </w:rPr>
        <w:t>Section 423 Option</w:t>
      </w:r>
      <w:r>
        <w:rPr>
          <w:rFonts w:ascii="Arial" w:cs="Arial" w:eastAsia="Arial" w:hAnsi="Arial"/>
          <w:sz w:val="18"/>
          <w:szCs w:val="18"/>
          <w:color w:val="auto"/>
        </w:rPr>
        <w:t>” shall have such meaning as set forth in Section 3.1(b) hereof.</w:t>
      </w:r>
    </w:p>
    <w:p>
      <w:pPr>
        <w:spacing w:after="0" w:line="225" w:lineRule="exact"/>
        <w:rPr>
          <w:sz w:val="20"/>
          <w:szCs w:val="20"/>
          <w:color w:val="auto"/>
        </w:rPr>
      </w:pPr>
    </w:p>
    <w:p>
      <w:pPr>
        <w:jc w:val="both"/>
        <w:ind w:right="140" w:firstLine="1321"/>
        <w:spacing w:after="0" w:line="311" w:lineRule="auto"/>
        <w:rPr>
          <w:sz w:val="20"/>
          <w:szCs w:val="20"/>
          <w:color w:val="auto"/>
        </w:rPr>
      </w:pPr>
      <w:r>
        <w:rPr>
          <w:rFonts w:ascii="Arial" w:cs="Arial" w:eastAsia="Arial" w:hAnsi="Arial"/>
          <w:sz w:val="16"/>
          <w:szCs w:val="16"/>
          <w:color w:val="auto"/>
        </w:rPr>
        <w:t>2.32 “</w:t>
      </w:r>
      <w:r>
        <w:rPr>
          <w:rFonts w:ascii="Arial" w:cs="Arial" w:eastAsia="Arial" w:hAnsi="Arial"/>
          <w:sz w:val="16"/>
          <w:szCs w:val="16"/>
          <w:u w:val="single" w:color="auto"/>
          <w:color w:val="auto"/>
        </w:rPr>
        <w:t>Subsidiary</w:t>
      </w:r>
      <w:r>
        <w:rPr>
          <w:rFonts w:ascii="Arial" w:cs="Arial" w:eastAsia="Arial" w:hAnsi="Arial"/>
          <w:sz w:val="16"/>
          <w:szCs w:val="16"/>
          <w:color w:val="auto"/>
        </w:rPr>
        <w:t>” shall mean any entity that is a subsidiary corporation of the Company within the meaning of Section 424 of the Code and the Treasury Regulations thereunder. In addition, with respect to any Offering pursuant to the Non-Section 423 Component only, Subsidiary may also include any corporate or noncorporate entity in which the Company has a direct or indirect equity interest or significant business relationship.</w:t>
      </w:r>
    </w:p>
    <w:p>
      <w:pPr>
        <w:spacing w:after="0" w:line="149" w:lineRule="exact"/>
        <w:rPr>
          <w:sz w:val="20"/>
          <w:szCs w:val="20"/>
          <w:color w:val="auto"/>
        </w:rPr>
      </w:pPr>
    </w:p>
    <w:p>
      <w:pPr>
        <w:ind w:firstLine="1321"/>
        <w:spacing w:after="0" w:line="308" w:lineRule="auto"/>
        <w:rPr>
          <w:sz w:val="20"/>
          <w:szCs w:val="20"/>
          <w:color w:val="auto"/>
        </w:rPr>
      </w:pPr>
      <w:r>
        <w:rPr>
          <w:rFonts w:ascii="Arial" w:cs="Arial" w:eastAsia="Arial" w:hAnsi="Arial"/>
          <w:sz w:val="17"/>
          <w:szCs w:val="17"/>
          <w:color w:val="auto"/>
        </w:rPr>
        <w:t>2.33 “</w:t>
      </w:r>
      <w:r>
        <w:rPr>
          <w:rFonts w:ascii="Arial" w:cs="Arial" w:eastAsia="Arial" w:hAnsi="Arial"/>
          <w:sz w:val="17"/>
          <w:szCs w:val="17"/>
          <w:u w:val="single" w:color="auto"/>
          <w:color w:val="auto"/>
        </w:rPr>
        <w:t>Trading Day</w:t>
      </w:r>
      <w:r>
        <w:rPr>
          <w:rFonts w:ascii="Arial" w:cs="Arial" w:eastAsia="Arial" w:hAnsi="Arial"/>
          <w:sz w:val="17"/>
          <w:szCs w:val="17"/>
          <w:color w:val="auto"/>
        </w:rPr>
        <w:t>” shall mean a day on which the principal securities exchange on which the Common Stock is listed is open for trading or, if the Common Stock is not listed on a securities exchange, shall mean a business day, as determined by the Administrator in good faith.</w:t>
      </w:r>
    </w:p>
    <w:p>
      <w:pPr>
        <w:spacing w:after="0" w:line="146"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2.34 “</w:t>
      </w:r>
      <w:r>
        <w:rPr>
          <w:rFonts w:ascii="Arial" w:cs="Arial" w:eastAsia="Arial" w:hAnsi="Arial"/>
          <w:sz w:val="18"/>
          <w:szCs w:val="18"/>
          <w:u w:val="single" w:color="auto"/>
          <w:color w:val="auto"/>
        </w:rPr>
        <w:t>Withdrawal Election</w:t>
      </w:r>
      <w:r>
        <w:rPr>
          <w:rFonts w:ascii="Arial" w:cs="Arial" w:eastAsia="Arial" w:hAnsi="Arial"/>
          <w:sz w:val="18"/>
          <w:szCs w:val="18"/>
          <w:color w:val="auto"/>
        </w:rPr>
        <w:t>” shall have such meaning as set forth in Section 6.1(a) hereof.</w:t>
      </w:r>
    </w:p>
    <w:p>
      <w:pPr>
        <w:spacing w:after="0" w:line="225"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PARTICIPATION</w:t>
      </w:r>
    </w:p>
    <w:p>
      <w:pPr>
        <w:spacing w:after="0" w:line="21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Eligibility</w:t>
      </w:r>
      <w:r>
        <w:rPr>
          <w:rFonts w:ascii="Arial" w:cs="Arial" w:eastAsia="Arial" w:hAnsi="Arial"/>
          <w:sz w:val="18"/>
          <w:szCs w:val="18"/>
          <w:color w:val="auto"/>
        </w:rPr>
        <w:t>.</w:t>
      </w:r>
    </w:p>
    <w:p>
      <w:pPr>
        <w:spacing w:after="0" w:line="225" w:lineRule="exact"/>
        <w:rPr>
          <w:sz w:val="20"/>
          <w:szCs w:val="20"/>
          <w:color w:val="auto"/>
        </w:rPr>
      </w:pPr>
    </w:p>
    <w:p>
      <w:pPr>
        <w:jc w:val="both"/>
        <w:ind w:right="120" w:firstLine="1917"/>
        <w:spacing w:after="0" w:line="286" w:lineRule="auto"/>
        <w:tabs>
          <w:tab w:leader="none" w:pos="2154" w:val="left"/>
        </w:tabs>
        <w:numPr>
          <w:ilvl w:val="0"/>
          <w:numId w:val="58"/>
        </w:numPr>
        <w:rPr>
          <w:rFonts w:ascii="Arial" w:cs="Arial" w:eastAsia="Arial" w:hAnsi="Arial"/>
          <w:sz w:val="17"/>
          <w:szCs w:val="17"/>
          <w:color w:val="auto"/>
        </w:rPr>
      </w:pPr>
      <w:r>
        <w:rPr>
          <w:rFonts w:ascii="Arial" w:cs="Arial" w:eastAsia="Arial" w:hAnsi="Arial"/>
          <w:sz w:val="17"/>
          <w:szCs w:val="17"/>
          <w:color w:val="auto"/>
        </w:rPr>
        <w:t>Any Eligible Employee who shall be employed by the Company or a Designated Subsidiary on a given Enrollment Date for an Offering Period shall be eligible to participate in the Plan during such Offering Period, subject to the requirements of Articles IV and V hereof, and, for the Section 423 Component, the limitations imposed by Section 423(b) of the Code and the Treasury Regulations thereunder.</w:t>
      </w:r>
    </w:p>
    <w:p>
      <w:pPr>
        <w:spacing w:after="0" w:line="165" w:lineRule="exact"/>
        <w:rPr>
          <w:rFonts w:ascii="Arial" w:cs="Arial" w:eastAsia="Arial" w:hAnsi="Arial"/>
          <w:sz w:val="17"/>
          <w:szCs w:val="17"/>
          <w:color w:val="auto"/>
        </w:rPr>
      </w:pPr>
    </w:p>
    <w:p>
      <w:pPr>
        <w:jc w:val="both"/>
        <w:ind w:right="80" w:firstLine="1917"/>
        <w:spacing w:after="0" w:line="275" w:lineRule="auto"/>
        <w:tabs>
          <w:tab w:leader="none" w:pos="2164" w:val="left"/>
        </w:tabs>
        <w:numPr>
          <w:ilvl w:val="0"/>
          <w:numId w:val="58"/>
        </w:numPr>
        <w:rPr>
          <w:rFonts w:ascii="Arial" w:cs="Arial" w:eastAsia="Arial" w:hAnsi="Arial"/>
          <w:sz w:val="17"/>
          <w:szCs w:val="17"/>
          <w:color w:val="auto"/>
        </w:rPr>
      </w:pPr>
      <w:r>
        <w:rPr>
          <w:rFonts w:ascii="Arial" w:cs="Arial" w:eastAsia="Arial" w:hAnsi="Arial"/>
          <w:sz w:val="17"/>
          <w:szCs w:val="17"/>
          <w:color w:val="auto"/>
        </w:rPr>
        <w:t>No Eligible Employee shall be granted an Option under the Section 423 Component which permits the Participant’s rights to purchase shares of Common Stock under the Plan, and to purchase stock under all other employee stock purchase plans of the Company, any Parent or any Subsidiary subject to the Section 423 of the Code (any such Option or other option, a “</w:t>
      </w:r>
      <w:r>
        <w:rPr>
          <w:rFonts w:ascii="Arial" w:cs="Arial" w:eastAsia="Arial" w:hAnsi="Arial"/>
          <w:sz w:val="17"/>
          <w:szCs w:val="17"/>
          <w:u w:val="single" w:color="auto"/>
          <w:color w:val="auto"/>
        </w:rPr>
        <w:t>Section 423 Option</w:t>
      </w:r>
      <w:r>
        <w:rPr>
          <w:rFonts w:ascii="Arial" w:cs="Arial" w:eastAsia="Arial" w:hAnsi="Arial"/>
          <w:sz w:val="17"/>
          <w:szCs w:val="17"/>
          <w:color w:val="auto"/>
        </w:rPr>
        <w:t>”), to accrue at a rate which exceeds $25,000 of fair market value of such stock (determined at the time the Section 423 Option is granted) for each calendar year in which any Section 423 Option granted to the Participant is outstanding at any time. For purposes of the limitation imposed by this subsection,</w:t>
      </w:r>
    </w:p>
    <w:p>
      <w:pPr>
        <w:spacing w:after="0" w:line="176" w:lineRule="exact"/>
        <w:rPr>
          <w:rFonts w:ascii="Arial" w:cs="Arial" w:eastAsia="Arial" w:hAnsi="Arial"/>
          <w:sz w:val="17"/>
          <w:szCs w:val="17"/>
          <w:color w:val="auto"/>
        </w:rPr>
      </w:pPr>
    </w:p>
    <w:p>
      <w:pPr>
        <w:ind w:left="600" w:right="240" w:firstLine="1804"/>
        <w:spacing w:after="0" w:line="277" w:lineRule="auto"/>
        <w:tabs>
          <w:tab w:leader="none" w:pos="2624"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right to purchase stock under a Section 423 Option accrues when the Section 423 Option (or any portion thereof) first becomes exercisable during the calendar year,</w:t>
      </w:r>
    </w:p>
    <w:p>
      <w:pPr>
        <w:spacing w:after="0" w:line="170" w:lineRule="exact"/>
        <w:rPr>
          <w:rFonts w:ascii="Arial" w:cs="Arial" w:eastAsia="Arial" w:hAnsi="Arial"/>
          <w:sz w:val="18"/>
          <w:szCs w:val="18"/>
          <w:color w:val="auto"/>
        </w:rPr>
      </w:pPr>
    </w:p>
    <w:p>
      <w:pPr>
        <w:jc w:val="both"/>
        <w:ind w:left="600" w:firstLine="1804"/>
        <w:spacing w:after="0" w:line="342" w:lineRule="auto"/>
        <w:tabs>
          <w:tab w:leader="none" w:pos="2674" w:val="left"/>
        </w:tabs>
        <w:numPr>
          <w:ilvl w:val="1"/>
          <w:numId w:val="58"/>
        </w:numPr>
        <w:rPr>
          <w:rFonts w:ascii="Arial" w:cs="Arial" w:eastAsia="Arial" w:hAnsi="Arial"/>
          <w:sz w:val="16"/>
          <w:szCs w:val="16"/>
          <w:color w:val="auto"/>
        </w:rPr>
      </w:pPr>
      <w:r>
        <w:rPr>
          <w:rFonts w:ascii="Arial" w:cs="Arial" w:eastAsia="Arial" w:hAnsi="Arial"/>
          <w:sz w:val="16"/>
          <w:szCs w:val="16"/>
          <w:color w:val="auto"/>
        </w:rPr>
        <w:t>the right to purchase stock under a Section 423 Option accrues at the rate provided in the Section 423 Option, but in no case may such rate exceed $25,000 of fair market value of such stock (determined at the time such option is granted) for any one calendar year, and</w:t>
      </w:r>
    </w:p>
    <w:p>
      <w:pPr>
        <w:spacing w:after="0" w:line="123" w:lineRule="exact"/>
        <w:rPr>
          <w:rFonts w:ascii="Arial" w:cs="Arial" w:eastAsia="Arial" w:hAnsi="Arial"/>
          <w:sz w:val="16"/>
          <w:szCs w:val="16"/>
          <w:color w:val="auto"/>
        </w:rPr>
      </w:pPr>
    </w:p>
    <w:p>
      <w:pPr>
        <w:ind w:left="2720" w:hanging="316"/>
        <w:spacing w:after="0"/>
        <w:tabs>
          <w:tab w:leader="none" w:pos="2720" w:val="left"/>
        </w:tabs>
        <w:numPr>
          <w:ilvl w:val="1"/>
          <w:numId w:val="58"/>
        </w:numPr>
        <w:rPr>
          <w:rFonts w:ascii="Arial" w:cs="Arial" w:eastAsia="Arial" w:hAnsi="Arial"/>
          <w:sz w:val="17"/>
          <w:szCs w:val="17"/>
          <w:color w:val="auto"/>
        </w:rPr>
      </w:pPr>
      <w:r>
        <w:rPr>
          <w:rFonts w:ascii="Arial" w:cs="Arial" w:eastAsia="Arial" w:hAnsi="Arial"/>
          <w:sz w:val="17"/>
          <w:szCs w:val="17"/>
          <w:color w:val="auto"/>
        </w:rPr>
        <w:t>a right to purchase stock which has accrued under a Section 423 Option may not be carried over to any other</w:t>
      </w:r>
    </w:p>
    <w:p>
      <w:pPr>
        <w:spacing w:after="0" w:line="35" w:lineRule="exact"/>
        <w:rPr>
          <w:sz w:val="20"/>
          <w:szCs w:val="20"/>
          <w:color w:val="auto"/>
        </w:rPr>
      </w:pPr>
    </w:p>
    <w:p>
      <w:pPr>
        <w:ind w:left="600" w:right="160"/>
        <w:spacing w:after="0" w:line="255" w:lineRule="auto"/>
        <w:rPr>
          <w:sz w:val="20"/>
          <w:szCs w:val="20"/>
          <w:color w:val="auto"/>
        </w:rPr>
      </w:pPr>
      <w:r>
        <w:rPr>
          <w:rFonts w:ascii="Arial" w:cs="Arial" w:eastAsia="Arial" w:hAnsi="Arial"/>
          <w:sz w:val="18"/>
          <w:szCs w:val="18"/>
          <w:color w:val="auto"/>
        </w:rPr>
        <w:t xml:space="preserve">Section 423 Option;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Participants may carry forward amounts so accrued that represent a fractional share of stock and were withheld but not applied towards the purchase of Common Stock under an earlier Offering Period, and may apply such amounts towards the purchase of additional shares of Common Stock under a subsequent Offering Period.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The limitation under this Section 3.1(b) shall be applied in accordance with Section 423(b)(8) of the Code and the Treasury Regulations thereunder.</w:t>
      </w:r>
    </w:p>
    <w:p>
      <w:pPr>
        <w:spacing w:after="0" w:line="23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Election to Participate; Payroll Deductions</w:t>
      </w:r>
    </w:p>
    <w:p>
      <w:pPr>
        <w:spacing w:after="0" w:line="225" w:lineRule="exact"/>
        <w:rPr>
          <w:sz w:val="20"/>
          <w:szCs w:val="20"/>
          <w:color w:val="auto"/>
        </w:rPr>
      </w:pPr>
    </w:p>
    <w:p>
      <w:pPr>
        <w:ind w:right="20" w:firstLine="1917"/>
        <w:spacing w:after="0" w:line="259" w:lineRule="auto"/>
        <w:tabs>
          <w:tab w:leader="none" w:pos="2154" w:val="left"/>
        </w:tabs>
        <w:numPr>
          <w:ilvl w:val="1"/>
          <w:numId w:val="59"/>
        </w:numPr>
        <w:rPr>
          <w:rFonts w:ascii="Arial" w:cs="Arial" w:eastAsia="Arial" w:hAnsi="Arial"/>
          <w:sz w:val="18"/>
          <w:szCs w:val="18"/>
          <w:color w:val="auto"/>
        </w:rPr>
      </w:pPr>
      <w:r>
        <w:rPr>
          <w:rFonts w:ascii="Arial" w:cs="Arial" w:eastAsia="Arial" w:hAnsi="Arial"/>
          <w:sz w:val="18"/>
          <w:szCs w:val="18"/>
          <w:color w:val="auto"/>
        </w:rPr>
        <w:t>Except as provided in Section 3.3 hereof, an Eligible Employee may become a Participant in the Plan only by means of payroll deduction. Each individual who is an Eligible Employee as of an Offering Period’s Enrollment Date may elect to participate in such Offering Period and the Plan by delivering to the Company a payroll deduction authorization no later such period of time prior to the applicable Enrollment Date as determined by the Administrator, in its sole discretion.</w:t>
      </w:r>
    </w:p>
    <w:p>
      <w:pPr>
        <w:spacing w:after="0" w:line="186" w:lineRule="exact"/>
        <w:rPr>
          <w:rFonts w:ascii="Arial" w:cs="Arial" w:eastAsia="Arial" w:hAnsi="Arial"/>
          <w:sz w:val="18"/>
          <w:szCs w:val="18"/>
          <w:color w:val="auto"/>
        </w:rPr>
      </w:pPr>
    </w:p>
    <w:p>
      <w:pPr>
        <w:ind w:right="100" w:firstLine="1917"/>
        <w:spacing w:after="0" w:line="255" w:lineRule="auto"/>
        <w:tabs>
          <w:tab w:leader="none" w:pos="2164" w:val="left"/>
        </w:tabs>
        <w:numPr>
          <w:ilvl w:val="1"/>
          <w:numId w:val="59"/>
        </w:numPr>
        <w:rPr>
          <w:rFonts w:ascii="Arial" w:cs="Arial" w:eastAsia="Arial" w:hAnsi="Arial"/>
          <w:sz w:val="18"/>
          <w:szCs w:val="18"/>
          <w:color w:val="auto"/>
        </w:rPr>
      </w:pPr>
      <w:r>
        <w:rPr>
          <w:rFonts w:ascii="Arial" w:cs="Arial" w:eastAsia="Arial" w:hAnsi="Arial"/>
          <w:sz w:val="18"/>
          <w:szCs w:val="18"/>
          <w:color w:val="auto"/>
        </w:rPr>
        <w:t>Subject to Section 3.1(b) hereof and except as may otherwise be determined by the Administrator and/or as set forth in the Offering Document, payroll deductions (i) shall be equal to at least one percent (1%) of the Participant’s Compensation as of each Payday of the Offering Period following the Enrollment Date, but not more than fifteen percent (15%) of the Participant’s Compensation as of each Payday of the Offering Period following the Enrollment Date; and (ii) may be expressed as a whole number percentage. Amounts deducted from a Participant’s Compensation with respect to an Offering Period pursuant to this Section 3.2 shall be deducted each Payday through payroll deduction and credited to the Participant’s Plan Account.</w:t>
      </w:r>
    </w:p>
    <w:p>
      <w:pPr>
        <w:spacing w:after="0" w:line="192" w:lineRule="exact"/>
        <w:rPr>
          <w:rFonts w:ascii="Arial" w:cs="Arial" w:eastAsia="Arial" w:hAnsi="Arial"/>
          <w:sz w:val="18"/>
          <w:szCs w:val="18"/>
          <w:color w:val="auto"/>
        </w:rPr>
      </w:pPr>
    </w:p>
    <w:p>
      <w:pPr>
        <w:ind w:left="2160" w:hanging="243"/>
        <w:spacing w:after="0"/>
        <w:tabs>
          <w:tab w:leader="none" w:pos="2160" w:val="left"/>
        </w:tabs>
        <w:numPr>
          <w:ilvl w:val="1"/>
          <w:numId w:val="59"/>
        </w:numPr>
        <w:rPr>
          <w:rFonts w:ascii="Arial" w:cs="Arial" w:eastAsia="Arial" w:hAnsi="Arial"/>
          <w:sz w:val="17"/>
          <w:szCs w:val="17"/>
          <w:color w:val="auto"/>
        </w:rPr>
      </w:pPr>
      <w:r>
        <w:rPr>
          <w:rFonts w:ascii="Arial" w:cs="Arial" w:eastAsia="Arial" w:hAnsi="Arial"/>
          <w:sz w:val="17"/>
          <w:szCs w:val="17"/>
          <w:color w:val="auto"/>
        </w:rPr>
        <w:t>Unless otherwise determined by the Administrator and/or as set forth in the Offering Document, following at least one</w:t>
      </w:r>
    </w:p>
    <w:p>
      <w:pPr>
        <w:spacing w:after="0" w:line="34" w:lineRule="exact"/>
        <w:rPr>
          <w:rFonts w:ascii="Arial" w:cs="Arial" w:eastAsia="Arial" w:hAnsi="Arial"/>
          <w:sz w:val="17"/>
          <w:szCs w:val="17"/>
          <w:color w:val="auto"/>
        </w:rPr>
      </w:pPr>
    </w:p>
    <w:p>
      <w:pPr>
        <w:ind w:right="140" w:firstLine="8"/>
        <w:spacing w:after="0" w:line="255" w:lineRule="auto"/>
        <w:tabs>
          <w:tab w:leader="none" w:pos="2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payroll deduction, a Participant may decrease (to as low as zero) the amount deducted from such Participant’s Compensation only once during an Offering Period upon ten (10) calendar days’ prior written notice to the Company. Unless otherwise determined by the Administrator and/or as set forth in the</w:t>
      </w:r>
    </w:p>
    <w:p>
      <w:pPr>
        <w:spacing w:after="0" w:line="190"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t>Offering Document, a Participant may not increase the amount deducted from such Participant’s Compensation during an Offering Period.</w:t>
      </w:r>
    </w:p>
    <w:p>
      <w:pPr>
        <w:spacing w:after="0" w:line="225" w:lineRule="exact"/>
        <w:rPr>
          <w:sz w:val="20"/>
          <w:szCs w:val="20"/>
          <w:color w:val="auto"/>
        </w:rPr>
      </w:pPr>
    </w:p>
    <w:p>
      <w:pPr>
        <w:ind w:right="80" w:firstLine="1917"/>
        <w:spacing w:after="0" w:line="279" w:lineRule="auto"/>
        <w:tabs>
          <w:tab w:leader="none" w:pos="2164" w:val="left"/>
        </w:tabs>
        <w:numPr>
          <w:ilvl w:val="0"/>
          <w:numId w:val="61"/>
        </w:numPr>
        <w:rPr>
          <w:rFonts w:ascii="Arial" w:cs="Arial" w:eastAsia="Arial" w:hAnsi="Arial"/>
          <w:sz w:val="17"/>
          <w:szCs w:val="17"/>
          <w:color w:val="auto"/>
        </w:rPr>
      </w:pPr>
      <w:r>
        <w:rPr>
          <w:rFonts w:ascii="Arial" w:cs="Arial" w:eastAsia="Arial" w:hAnsi="Arial"/>
          <w:sz w:val="17"/>
          <w:szCs w:val="17"/>
          <w:color w:val="auto"/>
        </w:rPr>
        <w:t>Notwithstanding the foregoing, upon the termination of an Offering Period, each Participant in such Offering Period shall automatically participate in the immediately following Offering Period at the same payroll deduction percentage or fixed amount as in effect at the termination of the prior Offering Period, unless such Participant delivers to the Company a different election with respect to the successive Offering Period in accordance with Section 3.2(a) hereof, or unless such Participant becomes ineligible for participation in the Plan.</w:t>
      </w:r>
    </w:p>
    <w:p>
      <w:pPr>
        <w:spacing w:after="0" w:line="171" w:lineRule="exact"/>
        <w:rPr>
          <w:rFonts w:ascii="Arial" w:cs="Arial" w:eastAsia="Arial" w:hAnsi="Arial"/>
          <w:sz w:val="17"/>
          <w:szCs w:val="17"/>
          <w:color w:val="auto"/>
        </w:rPr>
      </w:pPr>
    </w:p>
    <w:p>
      <w:pPr>
        <w:jc w:val="both"/>
        <w:ind w:right="240" w:firstLine="1917"/>
        <w:spacing w:after="0" w:line="257" w:lineRule="auto"/>
        <w:tabs>
          <w:tab w:leader="none" w:pos="2154"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provisions of the Plan to the contrary, in non-U.S. jurisdictions where participation in the Plan through payroll deductions is prohibited, the Administrator may provide that an Eligible Employee may elect to participate through contributions to the Participant’s account under the Plan in a form acceptable to the Administrator in lieu of or in addition to payroll deductions;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for any Offering under the Section 423 Component, the Administrator must determine that any alternative method of contribution is applied on an equal and uniform basis to all Eligible Employees in the Offering.</w:t>
      </w:r>
    </w:p>
    <w:p>
      <w:pPr>
        <w:spacing w:after="0" w:line="187" w:lineRule="exact"/>
        <w:rPr>
          <w:rFonts w:ascii="Arial" w:cs="Arial" w:eastAsia="Arial" w:hAnsi="Arial"/>
          <w:sz w:val="18"/>
          <w:szCs w:val="18"/>
          <w:color w:val="auto"/>
        </w:rPr>
      </w:pPr>
    </w:p>
    <w:p>
      <w:pPr>
        <w:ind w:right="220" w:firstLine="1917"/>
        <w:spacing w:after="0" w:line="277" w:lineRule="auto"/>
        <w:tabs>
          <w:tab w:leader="none" w:pos="2134"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Administrator shall have the authority to determine which Designated Subsidiaries shall participate in the Non-Section 423 Component and which shall participate in the Section 423 Component.</w:t>
      </w:r>
    </w:p>
    <w:p>
      <w:pPr>
        <w:spacing w:after="0" w:line="170"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Leave of Absence</w:t>
      </w:r>
      <w:r>
        <w:rPr>
          <w:rFonts w:ascii="Arial" w:cs="Arial" w:eastAsia="Arial" w:hAnsi="Arial"/>
          <w:sz w:val="17"/>
          <w:szCs w:val="17"/>
          <w:color w:val="auto"/>
        </w:rPr>
        <w:t>. During leaves of absence approved by the Company meeting the requirements of Treasury Regulation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1.421-1(h)(2) under the Code, a Participant may continue participation in the Plan by making cash payments to the Company on his or her normal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payday equal to his or her authorized payroll deduction.</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PURCHASE OF SHARES</w:t>
      </w:r>
    </w:p>
    <w:p>
      <w:pPr>
        <w:spacing w:after="0" w:line="211" w:lineRule="exact"/>
        <w:rPr>
          <w:sz w:val="20"/>
          <w:szCs w:val="20"/>
          <w:color w:val="auto"/>
        </w:rPr>
      </w:pPr>
    </w:p>
    <w:p>
      <w:pPr>
        <w:ind w:firstLine="1321"/>
        <w:spacing w:after="0" w:line="269"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Grant of Option</w:t>
      </w:r>
      <w:r>
        <w:rPr>
          <w:rFonts w:ascii="Arial" w:cs="Arial" w:eastAsia="Arial" w:hAnsi="Arial"/>
          <w:sz w:val="17"/>
          <w:szCs w:val="17"/>
          <w:color w:val="auto"/>
        </w:rPr>
        <w:t>. The Company may make one or more Offerings under the Plan, which may be successive or overlapping with one another, until the earlier of: (i) the date on which the Shares available under the Plan have been sold or (ii) the date on which the Plan is suspended or terminates. The Administrator shall designate the terms and conditions of each Offering in writing, including without limitation, the Offering Period and the Purchase Periods, as set forth in an offering document (the “</w:t>
      </w:r>
      <w:r>
        <w:rPr>
          <w:rFonts w:ascii="Arial" w:cs="Arial" w:eastAsia="Arial" w:hAnsi="Arial"/>
          <w:sz w:val="17"/>
          <w:szCs w:val="17"/>
          <w:u w:val="single" w:color="auto"/>
          <w:color w:val="auto"/>
        </w:rPr>
        <w:t>Offering Document</w:t>
      </w:r>
      <w:r>
        <w:rPr>
          <w:rFonts w:ascii="Arial" w:cs="Arial" w:eastAsia="Arial" w:hAnsi="Arial"/>
          <w:sz w:val="17"/>
          <w:szCs w:val="17"/>
          <w:color w:val="auto"/>
        </w:rPr>
        <w:t xml:space="preserve">”). Each Participant shall be granted an Option with respect to an Offering Period on the applicable Grant Date. Subject to the limitations of Section 3.1(b) hereof, the number of shares of Common Stock subject to a Participant’s Option shall be determined by dividing (a) such Participant’s payroll deductions accumulated prior to an Exercise Date and retained in the Participant’s Plan Account on such Exercise Date by (b) the applicable Option Price;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unless otherwise set forth in the Offering Document, in no event shall a Participant be permitted to purchase during each Offering Period more than 5,000 shares of Common Stock (subject to any adjustment pursuant to Section 5.2 hereof). The Administrator and/or the Offering Document may, for future Offering Periods, increase or decrease, in its absolute discretion, the maximum number of shares of Common Stock that a Participant may purchase during such future Offering Periods. Each Option shall expire on the Exercise Date for the applicable Offering Period immediately after the automatic exercise of the Option in accordance with Section 4.3 hereof, unless such Option terminates earlier in accordance with Article 6 hereof.</w:t>
      </w:r>
    </w:p>
    <w:p>
      <w:pPr>
        <w:spacing w:after="0" w:line="179" w:lineRule="exact"/>
        <w:rPr>
          <w:sz w:val="20"/>
          <w:szCs w:val="20"/>
          <w:color w:val="auto"/>
        </w:rPr>
      </w:pPr>
    </w:p>
    <w:p>
      <w:pPr>
        <w:jc w:val="both"/>
        <w:ind w:right="40" w:firstLine="1321"/>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Option Price</w:t>
      </w:r>
      <w:r>
        <w:rPr>
          <w:rFonts w:ascii="Arial" w:cs="Arial" w:eastAsia="Arial" w:hAnsi="Arial"/>
          <w:sz w:val="18"/>
          <w:szCs w:val="18"/>
          <w:color w:val="auto"/>
        </w:rPr>
        <w:t>. The “</w:t>
      </w:r>
      <w:r>
        <w:rPr>
          <w:rFonts w:ascii="Arial" w:cs="Arial" w:eastAsia="Arial" w:hAnsi="Arial"/>
          <w:sz w:val="18"/>
          <w:szCs w:val="18"/>
          <w:u w:val="single" w:color="auto"/>
          <w:color w:val="auto"/>
        </w:rPr>
        <w:t>Option Price</w:t>
      </w:r>
      <w:r>
        <w:rPr>
          <w:rFonts w:ascii="Arial" w:cs="Arial" w:eastAsia="Arial" w:hAnsi="Arial"/>
          <w:sz w:val="18"/>
          <w:szCs w:val="18"/>
          <w:color w:val="auto"/>
        </w:rPr>
        <w:t xml:space="preserve">” per share of Common Stock to be paid by a Participant upon exercise of the Participant’s Option on the applicable Exercise Date for an Offering Period shall be equal to eighty five percent (85%) of the lesser of the Fair Market Value of a share of Common Stock on (a) the applicable Grant Date and (b) the applicable Exercise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shall the Option Price per share of Common Stock be less than the par value per share of the Common Stock.</w:t>
      </w:r>
    </w:p>
    <w:p>
      <w:pPr>
        <w:spacing w:after="0" w:line="18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Purchase of Shares</w:t>
      </w:r>
      <w:r>
        <w:rPr>
          <w:rFonts w:ascii="Arial" w:cs="Arial" w:eastAsia="Arial" w:hAnsi="Arial"/>
          <w:sz w:val="18"/>
          <w:szCs w:val="18"/>
          <w:color w:val="auto"/>
        </w:rPr>
        <w:t>.</w:t>
      </w:r>
    </w:p>
    <w:p>
      <w:pPr>
        <w:spacing w:after="0" w:line="225" w:lineRule="exact"/>
        <w:rPr>
          <w:sz w:val="20"/>
          <w:szCs w:val="20"/>
          <w:color w:val="auto"/>
        </w:rPr>
      </w:pPr>
    </w:p>
    <w:p>
      <w:pPr>
        <w:ind w:right="180" w:firstLine="1917"/>
        <w:spacing w:after="0" w:line="277" w:lineRule="auto"/>
        <w:tabs>
          <w:tab w:leader="none" w:pos="2154" w:val="left"/>
        </w:tabs>
        <w:numPr>
          <w:ilvl w:val="0"/>
          <w:numId w:val="62"/>
        </w:numPr>
        <w:rPr>
          <w:rFonts w:ascii="Arial" w:cs="Arial" w:eastAsia="Arial" w:hAnsi="Arial"/>
          <w:sz w:val="18"/>
          <w:szCs w:val="18"/>
          <w:color w:val="auto"/>
        </w:rPr>
      </w:pPr>
      <w:r>
        <w:rPr>
          <w:rFonts w:ascii="Arial" w:cs="Arial" w:eastAsia="Arial" w:hAnsi="Arial"/>
          <w:sz w:val="18"/>
          <w:szCs w:val="18"/>
          <w:color w:val="auto"/>
        </w:rPr>
        <w:t>On the applicable Exercise Date for an Offering Period, each Participant shall automatically and without any action on such Participant’s part be deemed to have exercised his or her Option to purchase at the</w:t>
      </w:r>
    </w:p>
    <w:p>
      <w:pPr>
        <w:spacing w:after="0" w:line="170"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3" w:name="page114"/>
    <w:bookmarkEnd w:id="113"/>
    <w:p>
      <w:pPr>
        <w:ind w:right="20"/>
        <w:spacing w:after="0" w:line="271" w:lineRule="auto"/>
        <w:rPr>
          <w:sz w:val="20"/>
          <w:szCs w:val="20"/>
          <w:color w:val="auto"/>
        </w:rPr>
      </w:pPr>
      <w:r>
        <w:rPr>
          <w:rFonts w:ascii="Arial" w:cs="Arial" w:eastAsia="Arial" w:hAnsi="Arial"/>
          <w:sz w:val="17"/>
          <w:szCs w:val="17"/>
          <w:color w:val="auto"/>
        </w:rPr>
        <w:t>applicable per share Option Price the largest number of whole shares of Common Stock which can be purchased with the amount in the Participant’s Plan Account. Except as may otherwise be provided by the Administrator with respect to any Purchase Period or Offering Period and/or as set forth in the Offering Document, any balance less than the per share Option Price that is remaining in the Participant’s Plan Account (after exercise of such Participant’s Option) as of the Exercise Date shall be carried forward to the next Purchase Period or Offering Period, unless the Participant has elected to withdraw from the Plan pursuant to Section 6.1 hereof or, pursuant to Section 6.2 hereof, such Participant has ceased to be an Eligible Employee. Any balance not carried forward to the next Purchase Period or Offering Period in accordance with the prior sentence promptly shall be refunded to the applicable Participant. For the avoidance of doubt, in no event shall an amount greater than or equal to the per share Option Price as of an Exercise Date be carried forward to the next Purchase Period or Offering Period.</w:t>
      </w:r>
    </w:p>
    <w:p>
      <w:pPr>
        <w:spacing w:after="0" w:line="178" w:lineRule="exact"/>
        <w:rPr>
          <w:sz w:val="20"/>
          <w:szCs w:val="20"/>
          <w:color w:val="auto"/>
        </w:rPr>
      </w:pPr>
    </w:p>
    <w:p>
      <w:pPr>
        <w:jc w:val="both"/>
        <w:ind w:right="220" w:firstLine="1917"/>
        <w:spacing w:after="0" w:line="291" w:lineRule="auto"/>
        <w:tabs>
          <w:tab w:leader="none" w:pos="2164" w:val="left"/>
        </w:tabs>
        <w:numPr>
          <w:ilvl w:val="1"/>
          <w:numId w:val="63"/>
        </w:numPr>
        <w:rPr>
          <w:rFonts w:ascii="Arial" w:cs="Arial" w:eastAsia="Arial" w:hAnsi="Arial"/>
          <w:sz w:val="16"/>
          <w:szCs w:val="16"/>
          <w:color w:val="auto"/>
        </w:rPr>
      </w:pPr>
      <w:r>
        <w:rPr>
          <w:rFonts w:ascii="Arial" w:cs="Arial" w:eastAsia="Arial" w:hAnsi="Arial"/>
          <w:sz w:val="16"/>
          <w:szCs w:val="16"/>
          <w:color w:val="auto"/>
        </w:rPr>
        <w:t>As soon as practicable following the applicable Exercise Date, the number of shares of Common Stock purchased by such Participant pursuant to Section 4.3(a) hereof shall be delivered (either in share certificate or book entry form), in the Company’s sole discretion, to either</w:t>
      </w:r>
    </w:p>
    <w:p>
      <w:pPr>
        <w:ind w:firstLine="8"/>
        <w:spacing w:after="0" w:line="252" w:lineRule="auto"/>
        <w:tabs>
          <w:tab w:leader="none" w:pos="21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Participant or (ii) an account established in the Participant’s name at a stock brokerage or other financial services firm designated by the Company. If the Company is required to obtain from any commission or agency authority to issue any such shares of Common Stock, the Company shall seek to obtain such authority. Inability of the Company to obtain from any such commission or agency authority which counsel for the Company deems necessary for the lawful issuance of any such shares shall relieve the Company from liability to any Participant except to refund to the Participant such Participant’s Plan Account balance, without interest thereon. The Company may require that such shares of Common Stock be retained with a particular broker or agent for a designated period of time and/or may establish other procedures to permit tracking of qualifying and disqualifying dispositions of such shares of Common Stock.</w:t>
      </w:r>
    </w:p>
    <w:p>
      <w:pPr>
        <w:spacing w:after="0" w:line="192" w:lineRule="exact"/>
        <w:rPr>
          <w:sz w:val="20"/>
          <w:szCs w:val="20"/>
          <w:color w:val="auto"/>
        </w:rPr>
      </w:pPr>
    </w:p>
    <w:p>
      <w:pPr>
        <w:ind w:right="20" w:firstLine="1321"/>
        <w:spacing w:after="0" w:line="255"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Automatic Termination of Offering Period</w:t>
      </w:r>
      <w:r>
        <w:rPr>
          <w:rFonts w:ascii="Arial" w:cs="Arial" w:eastAsia="Arial" w:hAnsi="Arial"/>
          <w:sz w:val="18"/>
          <w:szCs w:val="18"/>
          <w:color w:val="auto"/>
        </w:rPr>
        <w:t>. Except as otherwise determined by the Administrator and/or as set forth in the Offering Document, if the Fair Market Value of a share of Common Stock on any Exercise Date (except the final scheduled Exercise Date of any Offering Period) is lower than the Fair Market Value of a share of Common Stock on the Grant Date for an Offering Period, then such Offering Period shall terminate on such Exercise Date after the automatic exercise of the Option in accordance with Section 4.3 hereof, and each Participant shall automatically be enrolled in the Offering Period that commences immediately following such Exercise Date and such Participant’s payroll deduction authorization shall remain in effect for such Offering Period.</w:t>
      </w:r>
    </w:p>
    <w:p>
      <w:pPr>
        <w:spacing w:after="0" w:line="192" w:lineRule="exact"/>
        <w:rPr>
          <w:sz w:val="20"/>
          <w:szCs w:val="20"/>
          <w:color w:val="auto"/>
        </w:rPr>
      </w:pPr>
    </w:p>
    <w:p>
      <w:pPr>
        <w:ind w:right="180" w:firstLine="1321"/>
        <w:spacing w:after="0" w:line="296"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Transferability of Rights</w:t>
      </w:r>
      <w:r>
        <w:rPr>
          <w:rFonts w:ascii="Arial" w:cs="Arial" w:eastAsia="Arial" w:hAnsi="Arial"/>
          <w:sz w:val="16"/>
          <w:szCs w:val="16"/>
          <w:color w:val="auto"/>
        </w:rPr>
        <w:t>. An Option granted under the Plan shall not be transferable, other than by will or the applicable laws of descent and distribution, and is exercisable during the Participant’s lifetime only by the Participant. No option or interest or right to the Option shall be available to pay off any debts, contracts or engagements of the Participant or his or her successors in interest or shall be subject to disposition by pledge, encumbrance, assignment or any other means whether such disposition be voluntary or involuntary or by operation of law by judgment, levy, attachment, garnishment or any other legal or equitable proceedings (including bankruptcy), and any attempt at disposition of the Option shall have no effect.</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PROVISIONS RELATING TO COMMON STOCK</w:t>
      </w:r>
    </w:p>
    <w:p>
      <w:pPr>
        <w:spacing w:after="0" w:line="211" w:lineRule="exact"/>
        <w:rPr>
          <w:sz w:val="20"/>
          <w:szCs w:val="20"/>
          <w:color w:val="auto"/>
        </w:rPr>
      </w:pPr>
    </w:p>
    <w:p>
      <w:pPr>
        <w:ind w:firstLine="1321"/>
        <w:spacing w:after="0" w:line="25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Common Stock Reserved</w:t>
      </w:r>
      <w:r>
        <w:rPr>
          <w:rFonts w:ascii="Arial" w:cs="Arial" w:eastAsia="Arial" w:hAnsi="Arial"/>
          <w:sz w:val="18"/>
          <w:szCs w:val="18"/>
          <w:color w:val="auto"/>
        </w:rPr>
        <w:t xml:space="preserve">. Subject to adjustment as provided in Section 5.2 hereof, the maximum number of shares of Common Stock that shall be made available for sale under the Plan shall be the sum of (a) 1,025,000 shares and (b) an annual increase on the first day of each year beginning in 2021 and ending in 2030 equal to the lesser of (i) one percent (1%) of the shares outstanding (on an as converted basis) on the last day of the immediately preceding fiscal year and (ii) such number of shares as may be determined by the Board; </w:t>
      </w:r>
      <w:r>
        <w:rPr>
          <w:rFonts w:ascii="Arial" w:cs="Arial" w:eastAsia="Arial" w:hAnsi="Arial"/>
          <w:sz w:val="18"/>
          <w:szCs w:val="18"/>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no more than 20,000,000 shares may be issued under the Plan. All or any portion of such maximum number of shares may be issued under the Section 423 Component. Shares made available for sale under the Plan may be authorized but unissued shares, treasury shares of Common Stock, or reacquired shares reserved for issuance under the Plan.</w:t>
      </w:r>
    </w:p>
    <w:p>
      <w:pPr>
        <w:spacing w:after="0" w:line="195"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14" w:name="page115"/>
    <w:bookmarkEnd w:id="114"/>
    <w:p>
      <w:pPr>
        <w:ind w:left="132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Adjustments Upon Changes in Capitalization, Dissolution, Liquidation, Merger or Asset Sale</w:t>
      </w:r>
      <w:r>
        <w:rPr>
          <w:rFonts w:ascii="Arial" w:cs="Arial" w:eastAsia="Arial" w:hAnsi="Arial"/>
          <w:sz w:val="18"/>
          <w:szCs w:val="18"/>
          <w:color w:val="auto"/>
        </w:rPr>
        <w:t>.</w:t>
      </w:r>
    </w:p>
    <w:p>
      <w:pPr>
        <w:spacing w:after="0" w:line="225" w:lineRule="exact"/>
        <w:rPr>
          <w:sz w:val="20"/>
          <w:szCs w:val="20"/>
          <w:color w:val="auto"/>
        </w:rPr>
      </w:pPr>
    </w:p>
    <w:p>
      <w:pPr>
        <w:ind w:right="160" w:firstLine="1917"/>
        <w:spacing w:after="0" w:line="289" w:lineRule="auto"/>
        <w:tabs>
          <w:tab w:leader="none" w:pos="2154"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Changes in Capitalization</w:t>
      </w:r>
      <w:r>
        <w:rPr>
          <w:rFonts w:ascii="Arial" w:cs="Arial" w:eastAsia="Arial" w:hAnsi="Arial"/>
          <w:sz w:val="16"/>
          <w:szCs w:val="16"/>
          <w:color w:val="auto"/>
        </w:rPr>
        <w:t xml:space="preserve">. Subject to any required action by the stockholders of the Company, the number of shares of Common Stock which have been authorized for issuance under the Plan but not yet placed under Option, as well as the price per share and the number of shares of Common Stock covered by each Option under the Plan which has not yet been exercised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conversion of any convertible securities of the Company shall not be deemed to have been “effected without receipt of consideration.” Such adjustment shall be made by the Administrator,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Option.</w:t>
      </w:r>
    </w:p>
    <w:p>
      <w:pPr>
        <w:spacing w:after="0" w:line="166" w:lineRule="exact"/>
        <w:rPr>
          <w:rFonts w:ascii="Arial" w:cs="Arial" w:eastAsia="Arial" w:hAnsi="Arial"/>
          <w:sz w:val="16"/>
          <w:szCs w:val="16"/>
          <w:color w:val="auto"/>
        </w:rPr>
      </w:pPr>
    </w:p>
    <w:p>
      <w:pPr>
        <w:ind w:right="160" w:firstLine="1917"/>
        <w:spacing w:after="0" w:line="272" w:lineRule="auto"/>
        <w:tabs>
          <w:tab w:leader="none" w:pos="2164"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Dissolution or Liquidation</w:t>
      </w:r>
      <w:r>
        <w:rPr>
          <w:rFonts w:ascii="Arial" w:cs="Arial" w:eastAsia="Arial" w:hAnsi="Arial"/>
          <w:sz w:val="17"/>
          <w:szCs w:val="17"/>
          <w:color w:val="auto"/>
        </w:rPr>
        <w:t>. In the event of the proposed dissolution or liquidation of the Company, the Offering Period then in progress shall be shortened by setting a new Exercise Date (the “</w:t>
      </w:r>
      <w:r>
        <w:rPr>
          <w:rFonts w:ascii="Arial" w:cs="Arial" w:eastAsia="Arial" w:hAnsi="Arial"/>
          <w:sz w:val="17"/>
          <w:szCs w:val="17"/>
          <w:u w:val="single" w:color="auto"/>
          <w:color w:val="auto"/>
        </w:rPr>
        <w:t>New Exercise Date</w:t>
      </w:r>
      <w:r>
        <w:rPr>
          <w:rFonts w:ascii="Arial" w:cs="Arial" w:eastAsia="Arial" w:hAnsi="Arial"/>
          <w:sz w:val="17"/>
          <w:szCs w:val="17"/>
          <w:color w:val="auto"/>
        </w:rPr>
        <w:t>”), and shall terminate immediately prior to the consummation of such proposed dissolution or liquidation, unless provided otherwise by the Administrator. The New Exercise Date shall be before the date of the Company’s proposed dissolution or liquidation. The Administrator shall notify each Participant in writing, at least ten (10) business days prior to the New Exercise Date, that the Exercise Date for the Participant’s Option has been changed to the New Exercise Date and that the Participant’s Option shall be exercised automatically on the New Exercise Date, unless prior to such date the Participant has withdrawn from the Offering Period as provided in Section 6.1 hereof or the Participant has ceased to be an Eligible Employee as provided in Section 6.2 hereof.</w:t>
      </w:r>
    </w:p>
    <w:p>
      <w:pPr>
        <w:spacing w:after="0" w:line="177" w:lineRule="exact"/>
        <w:rPr>
          <w:rFonts w:ascii="Arial" w:cs="Arial" w:eastAsia="Arial" w:hAnsi="Arial"/>
          <w:sz w:val="17"/>
          <w:szCs w:val="17"/>
          <w:color w:val="auto"/>
        </w:rPr>
      </w:pPr>
    </w:p>
    <w:p>
      <w:pPr>
        <w:ind w:right="100" w:firstLine="1917"/>
        <w:spacing w:after="0" w:line="253" w:lineRule="auto"/>
        <w:tabs>
          <w:tab w:leader="none" w:pos="2154"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Merger or Asset Sale</w:t>
      </w:r>
      <w:r>
        <w:rPr>
          <w:rFonts w:ascii="Arial" w:cs="Arial" w:eastAsia="Arial" w:hAnsi="Arial"/>
          <w:sz w:val="18"/>
          <w:szCs w:val="18"/>
          <w:color w:val="auto"/>
        </w:rPr>
        <w:t>. In the event of a proposed sale of all or substantially all of the assets of the Company, or the merger of the Company with or into another corporation, each outstanding Option shall be assumed or an equivalent Option substituted by the successor corporation or a Parent or Subsidiary of the successor corporation. In the event that the successor corporation refuses to assume or substitute for the Option, any Offering Periods then in progress shall be shortened by setting a New Exercise Date and any Offering Periods then in progress shall end on the New Exercise Date. The New Exercise Date shall be before the date of the Company’s proposed sale or merger. The Administrator shall notify each Participant in writing, at least ten (10) business days prior to the New Exercise Date, that the Exercise Date for the Participant’s Option has been changed to the New Exercise Date and that the Participant’s Option shall be exercised automatically on the New Exercise Date, unless prior to such date the Participant has withdrawn from the Offering Period as provided in Section 6.1 hereof or the Participant has ceased to be an Eligible Employee as provided in Section 6.2 hereof.</w:t>
      </w:r>
    </w:p>
    <w:p>
      <w:pPr>
        <w:spacing w:after="0" w:line="196" w:lineRule="exact"/>
        <w:rPr>
          <w:sz w:val="20"/>
          <w:szCs w:val="20"/>
          <w:color w:val="auto"/>
        </w:rPr>
      </w:pPr>
    </w:p>
    <w:p>
      <w:pPr>
        <w:ind w:firstLine="1321"/>
        <w:spacing w:after="0" w:line="271"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Insufficient Shares</w:t>
      </w:r>
      <w:r>
        <w:rPr>
          <w:rFonts w:ascii="Arial" w:cs="Arial" w:eastAsia="Arial" w:hAnsi="Arial"/>
          <w:sz w:val="17"/>
          <w:szCs w:val="17"/>
          <w:color w:val="auto"/>
        </w:rPr>
        <w:t>. If the Administrator determines that, on a given Exercise Date, the number of shares of Common Stock with respect to which Options are to be exercised may exceed the number of shares of Common Stock remaining available for sale under the Plan on such Exercise Date, the Administrator shall make a pro rata allocation of the shares of Common Stock available for issuance on such Exercise Date in as uniform a manner as shall be practicable and as it shall determine in its sole discretion to be equitable among all Participants exercising Options to purchase Common Stock on such Exercise Date, and unless additional shares are authorized for issuance under the Plan, no further Offering Periods shall take place and the Plan shall terminate pursuant to Section 7.5 hereof. If an Offering Period is so terminated, then the balance of the amount credited to the Participant’s Plan Account which has not been applied to the purchase of shares of Common Stock shall be paid to such Participant in one lump sum in cash within thirty (30) days after such Exercise Date, without any interest thereon.</w:t>
      </w:r>
    </w:p>
    <w:p>
      <w:pPr>
        <w:spacing w:after="0" w:line="178" w:lineRule="exact"/>
        <w:rPr>
          <w:sz w:val="20"/>
          <w:szCs w:val="20"/>
          <w:color w:val="auto"/>
        </w:rPr>
      </w:pPr>
    </w:p>
    <w:p>
      <w:pPr>
        <w:ind w:right="160" w:firstLine="1321"/>
        <w:spacing w:after="0" w:line="259"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Rights as Stockholders</w:t>
      </w:r>
      <w:r>
        <w:rPr>
          <w:rFonts w:ascii="Arial" w:cs="Arial" w:eastAsia="Arial" w:hAnsi="Arial"/>
          <w:sz w:val="18"/>
          <w:szCs w:val="18"/>
          <w:color w:val="auto"/>
        </w:rPr>
        <w:t>. With respect to shares of Common Stock subject to an Option, a Participant shall not be deemed to be a stockholder of the Company and shall not have any of the rights or privileges of a stockholder. A Participant shall have the rights and privileges of a stockholder of the Company when, but not until, shares of Common Stock have been deposited in the designated brokerage account following exercise of his or her Option.</w:t>
      </w:r>
    </w:p>
    <w:p>
      <w:pPr>
        <w:spacing w:after="0" w:line="187"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TERMINATION OF PARTICIPATION</w:t>
      </w:r>
    </w:p>
    <w:p>
      <w:pPr>
        <w:spacing w:after="0" w:line="21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Cessation of Contributions; Voluntary Withdrawal</w:t>
      </w:r>
      <w:r>
        <w:rPr>
          <w:rFonts w:ascii="Arial" w:cs="Arial" w:eastAsia="Arial" w:hAnsi="Arial"/>
          <w:sz w:val="18"/>
          <w:szCs w:val="18"/>
          <w:color w:val="auto"/>
        </w:rPr>
        <w:t>.</w:t>
      </w:r>
    </w:p>
    <w:p>
      <w:pPr>
        <w:spacing w:after="0" w:line="225" w:lineRule="exact"/>
        <w:rPr>
          <w:sz w:val="20"/>
          <w:szCs w:val="20"/>
          <w:color w:val="auto"/>
        </w:rPr>
      </w:pPr>
    </w:p>
    <w:p>
      <w:pPr>
        <w:ind w:firstLine="1917"/>
        <w:spacing w:after="0" w:line="269" w:lineRule="auto"/>
        <w:tabs>
          <w:tab w:leader="none" w:pos="2154" w:val="left"/>
        </w:tabs>
        <w:numPr>
          <w:ilvl w:val="0"/>
          <w:numId w:val="66"/>
        </w:numPr>
        <w:rPr>
          <w:rFonts w:ascii="Arial" w:cs="Arial" w:eastAsia="Arial" w:hAnsi="Arial"/>
          <w:sz w:val="17"/>
          <w:szCs w:val="17"/>
          <w:color w:val="auto"/>
        </w:rPr>
      </w:pPr>
      <w:r>
        <w:rPr>
          <w:rFonts w:ascii="Arial" w:cs="Arial" w:eastAsia="Arial" w:hAnsi="Arial"/>
          <w:sz w:val="17"/>
          <w:szCs w:val="17"/>
          <w:color w:val="auto"/>
        </w:rPr>
        <w:t>A Participant may cease payroll deductions during an Offering Period and elect to withdraw from the Plan by delivering written notice of such election to the Company in such form and at such time prior to the Exercise Date for such Offering Period as may be established by the Administrator (a “</w:t>
      </w:r>
      <w:r>
        <w:rPr>
          <w:rFonts w:ascii="Arial" w:cs="Arial" w:eastAsia="Arial" w:hAnsi="Arial"/>
          <w:sz w:val="17"/>
          <w:szCs w:val="17"/>
          <w:u w:val="single" w:color="auto"/>
          <w:color w:val="auto"/>
        </w:rPr>
        <w:t>Withdrawal Election</w:t>
      </w:r>
      <w:r>
        <w:rPr>
          <w:rFonts w:ascii="Arial" w:cs="Arial" w:eastAsia="Arial" w:hAnsi="Arial"/>
          <w:sz w:val="17"/>
          <w:szCs w:val="17"/>
          <w:color w:val="auto"/>
        </w:rPr>
        <w:t>”). A Participant electing to withdraw from the Plan may elect to either (i) withdraw all of the funds then credited to the Participant’s Plan Account as of the date on which the Withdrawal Election is received by the Company, in which case amounts credited to such Plan Account shall be returned to the Participant in one (1) lump-sum payment in cash within thirty (30) days after such election is received by the Company, without any interest thereon, and the Participant shall cease to participate in the Plan and the Participant’s Option for such Offering Period shall terminate; or (ii) exercise the Option for the maximum number of whole shares of Common Stock on the applicable Exercise Date with any remaining Plan Account balance returned to the Participant in one (1) lump-sum payment in cash within thirty (30) days after such Exercise Date, without any interest thereon, and after such exercise cease to participate in the Plan. Upon receipt of a Withdrawal Election, the Participant’s payroll deduction authorization and his or her Option to purchase under the Plan shall terminate.</w:t>
      </w:r>
    </w:p>
    <w:p>
      <w:pPr>
        <w:spacing w:after="0" w:line="185" w:lineRule="exact"/>
        <w:rPr>
          <w:rFonts w:ascii="Arial" w:cs="Arial" w:eastAsia="Arial" w:hAnsi="Arial"/>
          <w:sz w:val="17"/>
          <w:szCs w:val="17"/>
          <w:color w:val="auto"/>
        </w:rPr>
      </w:pPr>
    </w:p>
    <w:p>
      <w:pPr>
        <w:ind w:right="80" w:firstLine="1917"/>
        <w:spacing w:after="0" w:line="263" w:lineRule="auto"/>
        <w:tabs>
          <w:tab w:leader="none" w:pos="2164"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participant’s withdrawal from the Plan shall not have any effect upon his or her eligibility to participate in any similar plan which may hereafter be adopted by the Company or in succeeding Offering Periods which commence after the termination of the Offering Period from which the Participant withdraws.</w:t>
      </w:r>
    </w:p>
    <w:p>
      <w:pPr>
        <w:spacing w:after="0" w:line="183" w:lineRule="exact"/>
        <w:rPr>
          <w:rFonts w:ascii="Arial" w:cs="Arial" w:eastAsia="Arial" w:hAnsi="Arial"/>
          <w:sz w:val="18"/>
          <w:szCs w:val="18"/>
          <w:color w:val="auto"/>
        </w:rPr>
      </w:pPr>
    </w:p>
    <w:p>
      <w:pPr>
        <w:ind w:right="260" w:firstLine="1917"/>
        <w:spacing w:after="0" w:line="308" w:lineRule="auto"/>
        <w:tabs>
          <w:tab w:leader="none" w:pos="2154" w:val="left"/>
        </w:tabs>
        <w:numPr>
          <w:ilvl w:val="0"/>
          <w:numId w:val="66"/>
        </w:numPr>
        <w:rPr>
          <w:rFonts w:ascii="Arial" w:cs="Arial" w:eastAsia="Arial" w:hAnsi="Arial"/>
          <w:sz w:val="17"/>
          <w:szCs w:val="17"/>
          <w:color w:val="auto"/>
        </w:rPr>
      </w:pPr>
      <w:r>
        <w:rPr>
          <w:rFonts w:ascii="Arial" w:cs="Arial" w:eastAsia="Arial" w:hAnsi="Arial"/>
          <w:sz w:val="17"/>
          <w:szCs w:val="17"/>
          <w:color w:val="auto"/>
        </w:rPr>
        <w:t>Except as otherwise permitted by the Administrator and/or as set forth in the Offering Document, a Participant who ceases contributions to the Plan during any Offering Period shall not be permitted to resume contributions to the Plan during that Offering Period.</w:t>
      </w:r>
    </w:p>
    <w:p>
      <w:pPr>
        <w:spacing w:after="0" w:line="146" w:lineRule="exact"/>
        <w:rPr>
          <w:sz w:val="20"/>
          <w:szCs w:val="20"/>
          <w:color w:val="auto"/>
        </w:rPr>
      </w:pPr>
    </w:p>
    <w:p>
      <w:pPr>
        <w:ind w:right="40" w:firstLine="1321"/>
        <w:spacing w:after="0" w:line="287"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Termination of Eligibility</w:t>
      </w:r>
      <w:r>
        <w:rPr>
          <w:rFonts w:ascii="Arial" w:cs="Arial" w:eastAsia="Arial" w:hAnsi="Arial"/>
          <w:sz w:val="16"/>
          <w:szCs w:val="16"/>
          <w:color w:val="auto"/>
        </w:rPr>
        <w:t>. Upon a Participant’s ceasing to be an Eligible Employee, for any reason, such Participant’s Option for the applicable Offering Period shall automatically terminate, he or she shall be deemed to have elected to withdraw from the Plan, and such Participant’s Plan Account shall be paid to such Participant or, in the case of his or her death, to the person or persons entitled thereto pursuant to applicable law, within thirty</w:t>
      </w:r>
    </w:p>
    <w:p>
      <w:pPr>
        <w:spacing w:after="0" w:line="2" w:lineRule="exact"/>
        <w:rPr>
          <w:sz w:val="20"/>
          <w:szCs w:val="20"/>
          <w:color w:val="auto"/>
        </w:rPr>
      </w:pPr>
    </w:p>
    <w:p>
      <w:pPr>
        <w:ind w:firstLine="8"/>
        <w:spacing w:after="0" w:line="285" w:lineRule="auto"/>
        <w:tabs>
          <w:tab w:leader="none" w:pos="345" w:val="left"/>
        </w:tabs>
        <w:numPr>
          <w:ilvl w:val="0"/>
          <w:numId w:val="67"/>
        </w:numPr>
        <w:rPr>
          <w:rFonts w:ascii="Arial" w:cs="Arial" w:eastAsia="Arial" w:hAnsi="Arial"/>
          <w:sz w:val="16"/>
          <w:szCs w:val="16"/>
          <w:color w:val="auto"/>
        </w:rPr>
      </w:pPr>
      <w:r>
        <w:rPr>
          <w:rFonts w:ascii="Arial" w:cs="Arial" w:eastAsia="Arial" w:hAnsi="Arial"/>
          <w:sz w:val="16"/>
          <w:szCs w:val="16"/>
          <w:color w:val="auto"/>
        </w:rPr>
        <w:t>days after such cessation of being an Eligible Employee, without any interest thereon. If a Participant transfers employment from the Company or any Designated Subsidiary participating in the Section 423 Component to any Designated Subsidiary participating in the Non-Section 423 Component, such transfer shall not be treated as a termination of employment, but the Participant shall immediately cease to participate in the Section 423 Component; however, any contributions made for the Offering Period in which such transfer occurs shall be transferred to the Non-Section 423 Component, and such Participant shall immediately join the then-current Offering under the Non-Section 423 Component upon the same terms and conditions in effect for the Participant’s participation in the Section 423 Component, except for such modifications otherwise applicable for Participants in such Offering. A Participant who transfers employment from any Designated Subsidiary participating in the Non-Section 423 Component to the Company or any Designated Subsidiary participating in the Section 423 Component shall not be treated as terminating the Participant’s employment and shall remain a Participant in the Non-Section 423 Component until the earlier of (i) the end of the current Offering Period under the Non-Section 423 Component, or (ii) the Enrollment Date of the first Offering Period in which the Participant is eligible to participate following such transfer. Notwithstanding the foregoing, the Administrator may establish different rules to govern transfers of employment between companies participating in the Section 423 Component and the Non-Section 423 Component, consistent with the applicable requirements of Section 423 of the Code.</w:t>
      </w:r>
    </w:p>
    <w:p>
      <w:pPr>
        <w:spacing w:after="0" w:line="172"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6" w:name="page117"/>
    <w:bookmarkEnd w:id="116"/>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Administration</w:t>
      </w:r>
      <w:r>
        <w:rPr>
          <w:rFonts w:ascii="Arial" w:cs="Arial" w:eastAsia="Arial" w:hAnsi="Arial"/>
          <w:sz w:val="18"/>
          <w:szCs w:val="18"/>
          <w:color w:val="auto"/>
        </w:rPr>
        <w:t>.</w:t>
      </w:r>
    </w:p>
    <w:p>
      <w:pPr>
        <w:spacing w:after="0" w:line="225" w:lineRule="exact"/>
        <w:rPr>
          <w:sz w:val="20"/>
          <w:szCs w:val="20"/>
          <w:color w:val="auto"/>
        </w:rPr>
      </w:pPr>
    </w:p>
    <w:p>
      <w:pPr>
        <w:ind w:right="100" w:firstLine="1917"/>
        <w:spacing w:after="0" w:line="263" w:lineRule="auto"/>
        <w:tabs>
          <w:tab w:leader="none" w:pos="2154"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Plan shall be administered by the Committee, which shall be composed of members of the Board. The Committee may delegate administrative tasks under the Plan to the services of an Agent and/or Employees to assist in the administration of the Plan, including establishing and maintaining an individual securities account under the Plan for each Participant.</w:t>
      </w:r>
    </w:p>
    <w:p>
      <w:pPr>
        <w:spacing w:after="0" w:line="183" w:lineRule="exact"/>
        <w:rPr>
          <w:rFonts w:ascii="Arial" w:cs="Arial" w:eastAsia="Arial" w:hAnsi="Arial"/>
          <w:sz w:val="18"/>
          <w:szCs w:val="18"/>
          <w:color w:val="auto"/>
        </w:rPr>
      </w:pPr>
    </w:p>
    <w:p>
      <w:pPr>
        <w:ind w:firstLine="1917"/>
        <w:spacing w:after="0" w:line="277" w:lineRule="auto"/>
        <w:tabs>
          <w:tab w:leader="none" w:pos="2164" w:val="left"/>
        </w:tabs>
        <w:numPr>
          <w:ilvl w:val="0"/>
          <w:numId w:val="68"/>
        </w:numPr>
        <w:rPr>
          <w:rFonts w:ascii="Arial" w:cs="Arial" w:eastAsia="Arial" w:hAnsi="Arial"/>
          <w:sz w:val="18"/>
          <w:szCs w:val="18"/>
          <w:color w:val="auto"/>
        </w:rPr>
      </w:pPr>
      <w:r>
        <w:rPr>
          <w:rFonts w:ascii="Arial" w:cs="Arial" w:eastAsia="Arial" w:hAnsi="Arial"/>
          <w:sz w:val="18"/>
          <w:szCs w:val="18"/>
          <w:color w:val="auto"/>
        </w:rPr>
        <w:t>It shall be the duty of the Administrator to conduct the general administration of the Plan in accordance with the provisions of the Plan. The Administrator shall have the power, subject to, and within the limitations of, the express provisions of the Plan:</w:t>
      </w:r>
    </w:p>
    <w:p>
      <w:pPr>
        <w:spacing w:after="0" w:line="170" w:lineRule="exact"/>
        <w:rPr>
          <w:rFonts w:ascii="Arial" w:cs="Arial" w:eastAsia="Arial" w:hAnsi="Arial"/>
          <w:sz w:val="18"/>
          <w:szCs w:val="18"/>
          <w:color w:val="auto"/>
        </w:rPr>
      </w:pPr>
    </w:p>
    <w:p>
      <w:pPr>
        <w:ind w:left="2620" w:hanging="216"/>
        <w:spacing w:after="0"/>
        <w:tabs>
          <w:tab w:leader="none" w:pos="26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To establish and terminate Offerings;</w:t>
      </w:r>
    </w:p>
    <w:p>
      <w:pPr>
        <w:spacing w:after="0" w:line="225" w:lineRule="exact"/>
        <w:rPr>
          <w:rFonts w:ascii="Arial" w:cs="Arial" w:eastAsia="Arial" w:hAnsi="Arial"/>
          <w:sz w:val="18"/>
          <w:szCs w:val="18"/>
          <w:color w:val="auto"/>
        </w:rPr>
      </w:pPr>
    </w:p>
    <w:p>
      <w:pPr>
        <w:ind w:left="2660" w:hanging="256"/>
        <w:spacing w:after="0"/>
        <w:tabs>
          <w:tab w:leader="none" w:pos="2660" w:val="left"/>
        </w:tabs>
        <w:numPr>
          <w:ilvl w:val="1"/>
          <w:numId w:val="68"/>
        </w:numPr>
        <w:rPr>
          <w:rFonts w:ascii="Arial" w:cs="Arial" w:eastAsia="Arial" w:hAnsi="Arial"/>
          <w:sz w:val="17"/>
          <w:szCs w:val="17"/>
          <w:color w:val="auto"/>
        </w:rPr>
      </w:pPr>
      <w:r>
        <w:rPr>
          <w:rFonts w:ascii="Arial" w:cs="Arial" w:eastAsia="Arial" w:hAnsi="Arial"/>
          <w:sz w:val="17"/>
          <w:szCs w:val="17"/>
          <w:color w:val="auto"/>
        </w:rPr>
        <w:t>To determine when and how Options shall be granted and the provisions and terms of each Offering (which need</w:t>
      </w:r>
    </w:p>
    <w:p>
      <w:pPr>
        <w:spacing w:after="0" w:line="3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be identical);</w:t>
      </w:r>
    </w:p>
    <w:p>
      <w:pPr>
        <w:spacing w:after="0" w:line="211" w:lineRule="exact"/>
        <w:rPr>
          <w:sz w:val="20"/>
          <w:szCs w:val="20"/>
          <w:color w:val="auto"/>
        </w:rPr>
      </w:pPr>
    </w:p>
    <w:p>
      <w:pPr>
        <w:ind w:left="2720" w:hanging="316"/>
        <w:spacing w:after="0"/>
        <w:tabs>
          <w:tab w:leader="none" w:pos="27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To select Designated Subsidiaries in accordance with Section 7.2 hereof; and</w:t>
      </w:r>
    </w:p>
    <w:p>
      <w:pPr>
        <w:spacing w:after="0" w:line="225" w:lineRule="exact"/>
        <w:rPr>
          <w:rFonts w:ascii="Arial" w:cs="Arial" w:eastAsia="Arial" w:hAnsi="Arial"/>
          <w:sz w:val="18"/>
          <w:szCs w:val="18"/>
          <w:color w:val="auto"/>
        </w:rPr>
      </w:pPr>
    </w:p>
    <w:p>
      <w:pPr>
        <w:ind w:left="600" w:right="20" w:firstLine="1804"/>
        <w:spacing w:after="0" w:line="257" w:lineRule="auto"/>
        <w:tabs>
          <w:tab w:leader="none" w:pos="2714" w:val="left"/>
        </w:tabs>
        <w:numPr>
          <w:ilvl w:val="1"/>
          <w:numId w:val="69"/>
        </w:numPr>
        <w:rPr>
          <w:rFonts w:ascii="Arial" w:cs="Arial" w:eastAsia="Arial" w:hAnsi="Arial"/>
          <w:sz w:val="18"/>
          <w:szCs w:val="18"/>
          <w:color w:val="auto"/>
        </w:rPr>
      </w:pPr>
      <w:r>
        <w:rPr>
          <w:rFonts w:ascii="Arial" w:cs="Arial" w:eastAsia="Arial" w:hAnsi="Arial"/>
          <w:sz w:val="18"/>
          <w:szCs w:val="18"/>
          <w:color w:val="auto"/>
        </w:rPr>
        <w:t>To construe and interpret the Plan, the terms of any Offering and the terms of the Options and to adopt such rules for the administration, interpretation, and application of the Plan as are consistent therewith and to interpret, amend or revoke any such rules. The Administrator, in the exercise of this power, may correct any defect, omission or inconsistency in the Plan, any Offering or any Option, in a manner and to the extent it shall deem necessary or expedient to make the Plan fully effect, subject to Section 423 of the Code for the Section 423 Component and the Treasury Regulations thereunder.</w:t>
      </w:r>
    </w:p>
    <w:p>
      <w:pPr>
        <w:spacing w:after="0" w:line="187" w:lineRule="exact"/>
        <w:rPr>
          <w:rFonts w:ascii="Arial" w:cs="Arial" w:eastAsia="Arial" w:hAnsi="Arial"/>
          <w:sz w:val="18"/>
          <w:szCs w:val="18"/>
          <w:color w:val="auto"/>
        </w:rPr>
      </w:pPr>
    </w:p>
    <w:p>
      <w:pPr>
        <w:ind w:right="40" w:firstLine="1917"/>
        <w:spacing w:after="0" w:line="275" w:lineRule="auto"/>
        <w:tabs>
          <w:tab w:leader="none" w:pos="2154"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Administrator may adopt rules or procedures relating to the operation and administration of the Plan to accommodate the specific requirements of local laws and procedures. Without limiting the generality of the foregoing, the Administrator is specifically authorized to adopt rules and procedures regarding handling of participation elections, payroll deductions, payment of interest, conversion of local currency, payroll tax, withholding procedures and handling of stock certificates which vary with local requirements. In its absolute discretion, the Board may at any time and from time to time exercise any and all rights and duties of the Administrator under the Plan.</w:t>
      </w:r>
    </w:p>
    <w:p>
      <w:pPr>
        <w:spacing w:after="0" w:line="176" w:lineRule="exact"/>
        <w:rPr>
          <w:rFonts w:ascii="Arial" w:cs="Arial" w:eastAsia="Arial" w:hAnsi="Arial"/>
          <w:sz w:val="17"/>
          <w:szCs w:val="17"/>
          <w:color w:val="auto"/>
        </w:rPr>
      </w:pPr>
    </w:p>
    <w:p>
      <w:pPr>
        <w:jc w:val="both"/>
        <w:ind w:right="60" w:firstLine="1917"/>
        <w:spacing w:after="0" w:line="259" w:lineRule="auto"/>
        <w:tabs>
          <w:tab w:leader="none" w:pos="2164"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Administrator may adopt sub-plans applicable to particular Designated Subsidiaries or locations, which sub-plans may be designed to be outside the scope of Section 423 of the Code. The rules of such sub-plans may take precedence over other provisions of this Plan, with the exception of Section 5.1 hereof, but unless otherwise superseded by the terms of such sub-plan, the provisions of this Plan shall govern the operation of such sub-plan.</w:t>
      </w:r>
    </w:p>
    <w:p>
      <w:pPr>
        <w:spacing w:after="0" w:line="186" w:lineRule="exact"/>
        <w:rPr>
          <w:rFonts w:ascii="Arial" w:cs="Arial" w:eastAsia="Arial" w:hAnsi="Arial"/>
          <w:sz w:val="18"/>
          <w:szCs w:val="18"/>
          <w:color w:val="auto"/>
        </w:rPr>
      </w:pPr>
    </w:p>
    <w:p>
      <w:pPr>
        <w:ind w:right="40" w:firstLine="1917"/>
        <w:spacing w:after="0" w:line="254" w:lineRule="auto"/>
        <w:tabs>
          <w:tab w:leader="none" w:pos="2154"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 expenses and liabilities incurred by the Administrator in connection with the administration of the Plan shall be borne by the Company. The Administrator may, with the approval of the Committee, employ attorneys, consultants, accountants, appraisers, brokers or other persons. The Administrator, the Company and its officers and directors shall be entitled to rely upon the advice, opinions or valuations of any such persons. All actions taken and all interpretations and determinations made by the Administrator in good faith shall be final and binding upon all Participants, the Company and all other interested persons. No member of the Board or Administrator shall be personally liable for any action, determination or interpretation made in good faith with respect to the Plan or the options, and all members of the Board or Administrator shall be fully protected by the Company in respect to any such action, determination, or interpretation.</w:t>
      </w:r>
    </w:p>
    <w:p>
      <w:pPr>
        <w:spacing w:after="0" w:line="195" w:lineRule="exact"/>
        <w:rPr>
          <w:sz w:val="20"/>
          <w:szCs w:val="20"/>
          <w:color w:val="auto"/>
        </w:rPr>
      </w:pPr>
    </w:p>
    <w:p>
      <w:pPr>
        <w:ind w:right="160" w:firstLine="1321"/>
        <w:spacing w:after="0" w:line="263"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Designation of Subsidiary Corporations</w:t>
      </w:r>
      <w:r>
        <w:rPr>
          <w:rFonts w:ascii="Arial" w:cs="Arial" w:eastAsia="Arial" w:hAnsi="Arial"/>
          <w:sz w:val="18"/>
          <w:szCs w:val="18"/>
          <w:color w:val="auto"/>
        </w:rPr>
        <w:t>. The Board or Committee shall designate from among the Subsidiaries, as determined from time to time, the Subsidiary or Subsidiaries that shall constitute Designated Subsidiaries, and determine whether such Designated Subsidiaries shall participate in the Section 423 Component or</w:t>
      </w:r>
    </w:p>
    <w:p>
      <w:pPr>
        <w:spacing w:after="0" w:line="184"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7" w:name="page118"/>
    <w:bookmarkEnd w:id="117"/>
    <w:p>
      <w:pPr>
        <w:ind w:right="220"/>
        <w:spacing w:after="0" w:line="277" w:lineRule="auto"/>
        <w:rPr>
          <w:sz w:val="20"/>
          <w:szCs w:val="20"/>
          <w:color w:val="auto"/>
        </w:rPr>
      </w:pPr>
      <w:r>
        <w:rPr>
          <w:rFonts w:ascii="Arial" w:cs="Arial" w:eastAsia="Arial" w:hAnsi="Arial"/>
          <w:sz w:val="18"/>
          <w:szCs w:val="18"/>
          <w:color w:val="auto"/>
        </w:rPr>
        <w:t>Non-Section 423 Component. The Board or Committee may designate a Subsidiary, or terminate the designation of a Subsidiary, without the approval of the stockholders of the Company.</w:t>
      </w:r>
    </w:p>
    <w:p>
      <w:pPr>
        <w:spacing w:after="0" w:line="170" w:lineRule="exact"/>
        <w:rPr>
          <w:sz w:val="20"/>
          <w:szCs w:val="20"/>
          <w:color w:val="auto"/>
        </w:rPr>
      </w:pPr>
    </w:p>
    <w:p>
      <w:pPr>
        <w:ind w:right="120" w:firstLine="1321"/>
        <w:spacing w:after="0" w:line="263"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Reports</w:t>
      </w:r>
      <w:r>
        <w:rPr>
          <w:rFonts w:ascii="Arial" w:cs="Arial" w:eastAsia="Arial" w:hAnsi="Arial"/>
          <w:sz w:val="18"/>
          <w:szCs w:val="18"/>
          <w:color w:val="auto"/>
        </w:rPr>
        <w:t>. Individual accounts shall be maintained for each Participant in the Plan. Statements of Plan Accounts shall be given to Participants at least annually, which statements shall set forth the amounts of payroll deductions, the Option Price, the number of shares purchased and the remaining cash balance, if any.</w:t>
      </w:r>
    </w:p>
    <w:p>
      <w:pPr>
        <w:spacing w:after="0" w:line="184" w:lineRule="exact"/>
        <w:rPr>
          <w:sz w:val="20"/>
          <w:szCs w:val="20"/>
          <w:color w:val="auto"/>
        </w:rPr>
      </w:pPr>
    </w:p>
    <w:p>
      <w:pPr>
        <w:ind w:right="80" w:firstLine="1321"/>
        <w:spacing w:after="0" w:line="263"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No Right to Employment</w:t>
      </w:r>
      <w:r>
        <w:rPr>
          <w:rFonts w:ascii="Arial" w:cs="Arial" w:eastAsia="Arial" w:hAnsi="Arial"/>
          <w:sz w:val="18"/>
          <w:szCs w:val="18"/>
          <w:color w:val="auto"/>
        </w:rPr>
        <w:t>. Nothing in the Plan shall be construed to give any person (including any Participant) the right to remain in the employ of the Company, a Parent or a Subsidiary or to affect the right of the Company, any Parent or any Subsidiary to terminate the employment of any person (including any Participant) at any time, with or without cause, which right is expressly reserved.</w:t>
      </w:r>
    </w:p>
    <w:p>
      <w:pPr>
        <w:spacing w:after="0" w:line="184"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Amendment and Termination of the Plan</w:t>
      </w:r>
      <w:r>
        <w:rPr>
          <w:rFonts w:ascii="Arial" w:cs="Arial" w:eastAsia="Arial" w:hAnsi="Arial"/>
          <w:sz w:val="18"/>
          <w:szCs w:val="18"/>
          <w:color w:val="auto"/>
        </w:rPr>
        <w:t>.</w:t>
      </w:r>
    </w:p>
    <w:p>
      <w:pPr>
        <w:spacing w:after="0" w:line="225" w:lineRule="exact"/>
        <w:rPr>
          <w:sz w:val="20"/>
          <w:szCs w:val="20"/>
          <w:color w:val="auto"/>
        </w:rPr>
      </w:pPr>
    </w:p>
    <w:p>
      <w:pPr>
        <w:ind w:right="260" w:firstLine="1917"/>
        <w:spacing w:after="0" w:line="311" w:lineRule="auto"/>
        <w:tabs>
          <w:tab w:leader="none" w:pos="2154"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The Board may, in its sole discretion, amend, suspend or terminate the Plan at any time and from time to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without approval of the Company’s stockholders given within twelve (12) months before or after action by the Board, the Plan may not be</w:t>
      </w:r>
      <w:r>
        <w:rPr>
          <w:rFonts w:ascii="Arial" w:cs="Arial" w:eastAsia="Arial" w:hAnsi="Arial"/>
          <w:sz w:val="16"/>
          <w:szCs w:val="16"/>
          <w:i w:val="1"/>
          <w:iCs w:val="1"/>
          <w:color w:val="auto"/>
        </w:rPr>
        <w:t xml:space="preserve"> </w:t>
      </w:r>
      <w:r>
        <w:rPr>
          <w:rFonts w:ascii="Arial" w:cs="Arial" w:eastAsia="Arial" w:hAnsi="Arial"/>
          <w:sz w:val="16"/>
          <w:szCs w:val="16"/>
          <w:color w:val="auto"/>
        </w:rPr>
        <w:t>amended to increase the maximum number of shares of Common Stock subject to the Plan or change the designation or class of Eligible Employees.</w:t>
      </w:r>
    </w:p>
    <w:p>
      <w:pPr>
        <w:spacing w:after="0" w:line="148" w:lineRule="exact"/>
        <w:rPr>
          <w:rFonts w:ascii="Arial" w:cs="Arial" w:eastAsia="Arial" w:hAnsi="Arial"/>
          <w:sz w:val="16"/>
          <w:szCs w:val="16"/>
          <w:color w:val="auto"/>
        </w:rPr>
      </w:pPr>
    </w:p>
    <w:p>
      <w:pPr>
        <w:ind w:right="240" w:firstLine="1917"/>
        <w:spacing w:after="0" w:line="311" w:lineRule="auto"/>
        <w:tabs>
          <w:tab w:leader="none" w:pos="2164" w:val="left"/>
        </w:tabs>
        <w:numPr>
          <w:ilvl w:val="0"/>
          <w:numId w:val="71"/>
        </w:numPr>
        <w:rPr>
          <w:rFonts w:ascii="Arial" w:cs="Arial" w:eastAsia="Arial" w:hAnsi="Arial"/>
          <w:sz w:val="16"/>
          <w:szCs w:val="16"/>
          <w:color w:val="auto"/>
        </w:rPr>
      </w:pPr>
      <w:r>
        <w:rPr>
          <w:rFonts w:ascii="Arial" w:cs="Arial" w:eastAsia="Arial" w:hAnsi="Arial"/>
          <w:sz w:val="16"/>
          <w:szCs w:val="16"/>
          <w:color w:val="auto"/>
        </w:rPr>
        <w:t>In the event the Administrator determines that the ongoing operation of the Plan may result in unfavorable financial accounting consequences, the Administrator may, to the extent permitted under Section 423 of the Code for the Section 423 Component, in its discretion and, to the extent necessary or desirable, modify or amend the Plan to reduce or eliminate such accounting consequence including, but not limited to:</w:t>
      </w:r>
    </w:p>
    <w:p>
      <w:pPr>
        <w:spacing w:after="0" w:line="148" w:lineRule="exact"/>
        <w:rPr>
          <w:rFonts w:ascii="Arial" w:cs="Arial" w:eastAsia="Arial" w:hAnsi="Arial"/>
          <w:sz w:val="16"/>
          <w:szCs w:val="16"/>
          <w:color w:val="auto"/>
        </w:rPr>
      </w:pPr>
    </w:p>
    <w:p>
      <w:pPr>
        <w:ind w:left="2620" w:hanging="216"/>
        <w:spacing w:after="0"/>
        <w:tabs>
          <w:tab w:leader="none" w:pos="2620" w:val="left"/>
        </w:tabs>
        <w:numPr>
          <w:ilvl w:val="1"/>
          <w:numId w:val="71"/>
        </w:numPr>
        <w:rPr>
          <w:rFonts w:ascii="Arial" w:cs="Arial" w:eastAsia="Arial" w:hAnsi="Arial"/>
          <w:sz w:val="17"/>
          <w:szCs w:val="17"/>
          <w:color w:val="auto"/>
        </w:rPr>
      </w:pPr>
      <w:r>
        <w:rPr>
          <w:rFonts w:ascii="Arial" w:cs="Arial" w:eastAsia="Arial" w:hAnsi="Arial"/>
          <w:sz w:val="17"/>
          <w:szCs w:val="17"/>
          <w:color w:val="auto"/>
        </w:rPr>
        <w:t>altering the Option Price for any Offering Period including an Offering Period underway at the time of the change in</w:t>
      </w:r>
    </w:p>
    <w:p>
      <w:pPr>
        <w:spacing w:after="0" w:line="34" w:lineRule="exact"/>
        <w:rPr>
          <w:rFonts w:ascii="Arial" w:cs="Arial" w:eastAsia="Arial" w:hAnsi="Arial"/>
          <w:sz w:val="17"/>
          <w:szCs w:val="17"/>
          <w:color w:val="auto"/>
        </w:rPr>
      </w:pPr>
    </w:p>
    <w:p>
      <w:pPr>
        <w:ind w:left="600"/>
        <w:spacing w:after="0"/>
        <w:rPr>
          <w:rFonts w:ascii="Arial" w:cs="Arial" w:eastAsia="Arial" w:hAnsi="Arial"/>
          <w:sz w:val="17"/>
          <w:szCs w:val="17"/>
          <w:color w:val="auto"/>
        </w:rPr>
      </w:pPr>
      <w:r>
        <w:rPr>
          <w:rFonts w:ascii="Arial" w:cs="Arial" w:eastAsia="Arial" w:hAnsi="Arial"/>
          <w:sz w:val="18"/>
          <w:szCs w:val="18"/>
          <w:color w:val="auto"/>
        </w:rPr>
        <w:t>Option Price;</w:t>
      </w:r>
    </w:p>
    <w:p>
      <w:pPr>
        <w:spacing w:after="0" w:line="210" w:lineRule="exact"/>
        <w:rPr>
          <w:rFonts w:ascii="Arial" w:cs="Arial" w:eastAsia="Arial" w:hAnsi="Arial"/>
          <w:sz w:val="17"/>
          <w:szCs w:val="17"/>
          <w:color w:val="auto"/>
        </w:rPr>
      </w:pPr>
    </w:p>
    <w:p>
      <w:pPr>
        <w:ind w:left="600" w:right="100" w:firstLine="1804"/>
        <w:spacing w:after="0" w:line="277" w:lineRule="auto"/>
        <w:tabs>
          <w:tab w:leader="none" w:pos="2674" w:val="left"/>
        </w:tabs>
        <w:numPr>
          <w:ilvl w:val="1"/>
          <w:numId w:val="71"/>
        </w:numPr>
        <w:rPr>
          <w:rFonts w:ascii="Arial" w:cs="Arial" w:eastAsia="Arial" w:hAnsi="Arial"/>
          <w:sz w:val="18"/>
          <w:szCs w:val="18"/>
          <w:color w:val="auto"/>
        </w:rPr>
      </w:pPr>
      <w:r>
        <w:rPr>
          <w:rFonts w:ascii="Arial" w:cs="Arial" w:eastAsia="Arial" w:hAnsi="Arial"/>
          <w:sz w:val="18"/>
          <w:szCs w:val="18"/>
          <w:color w:val="auto"/>
        </w:rPr>
        <w:t>shortening any Offering Period so that the Offering Period ends on a new Exercise Date, including an Offering Period underway at the time of the Administrator action; and</w:t>
      </w:r>
    </w:p>
    <w:p>
      <w:pPr>
        <w:spacing w:after="0" w:line="170" w:lineRule="exact"/>
        <w:rPr>
          <w:rFonts w:ascii="Arial" w:cs="Arial" w:eastAsia="Arial" w:hAnsi="Arial"/>
          <w:sz w:val="18"/>
          <w:szCs w:val="18"/>
          <w:color w:val="auto"/>
        </w:rPr>
      </w:pPr>
    </w:p>
    <w:p>
      <w:pPr>
        <w:ind w:left="2720" w:hanging="316"/>
        <w:spacing w:after="0"/>
        <w:tabs>
          <w:tab w:leader="none" w:pos="27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allocating shares of Common Stock.</w:t>
      </w:r>
    </w:p>
    <w:p>
      <w:pPr>
        <w:spacing w:after="0" w:line="22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Such modifications or amendments shall not require stockholder approval or the consent of any Participant.</w:t>
      </w:r>
    </w:p>
    <w:p>
      <w:pPr>
        <w:spacing w:after="0" w:line="225" w:lineRule="exact"/>
        <w:rPr>
          <w:sz w:val="20"/>
          <w:szCs w:val="20"/>
          <w:color w:val="auto"/>
        </w:rPr>
      </w:pPr>
    </w:p>
    <w:p>
      <w:pPr>
        <w:ind w:right="280" w:firstLine="1917"/>
        <w:spacing w:after="0" w:line="277" w:lineRule="auto"/>
        <w:tabs>
          <w:tab w:leader="none" w:pos="2154" w:val="left"/>
        </w:tabs>
        <w:numPr>
          <w:ilvl w:val="0"/>
          <w:numId w:val="72"/>
        </w:numPr>
        <w:rPr>
          <w:rFonts w:ascii="Arial" w:cs="Arial" w:eastAsia="Arial" w:hAnsi="Arial"/>
          <w:sz w:val="18"/>
          <w:szCs w:val="18"/>
          <w:color w:val="auto"/>
        </w:rPr>
      </w:pPr>
      <w:r>
        <w:rPr>
          <w:rFonts w:ascii="Arial" w:cs="Arial" w:eastAsia="Arial" w:hAnsi="Arial"/>
          <w:sz w:val="18"/>
          <w:szCs w:val="18"/>
          <w:color w:val="auto"/>
        </w:rPr>
        <w:t>Upon termination of the Plan, the balance in each Participant’s Plan Account shall be refunded as soon as practicable after such termination, without any interest thereon.</w:t>
      </w:r>
    </w:p>
    <w:p>
      <w:pPr>
        <w:spacing w:after="0" w:line="170" w:lineRule="exact"/>
        <w:rPr>
          <w:sz w:val="20"/>
          <w:szCs w:val="20"/>
          <w:color w:val="auto"/>
        </w:rPr>
      </w:pPr>
    </w:p>
    <w:p>
      <w:pPr>
        <w:ind w:firstLine="1321"/>
        <w:spacing w:after="0" w:line="290"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Use of Funds; No Interest Paid</w:t>
      </w:r>
      <w:r>
        <w:rPr>
          <w:rFonts w:ascii="Arial" w:cs="Arial" w:eastAsia="Arial" w:hAnsi="Arial"/>
          <w:sz w:val="16"/>
          <w:szCs w:val="16"/>
          <w:color w:val="auto"/>
        </w:rPr>
        <w:t>. All funds received by the Company by reason of purchase of shares of Common Stock under the Plan shall be included in the general funds of the Company free of any trust or other restriction and may be used for any corporate purpose, except for funds contributed under Offerings in which the local law of a non-U.S. jurisdiction requires that contributions to the Plan by Participants be segregated from the Company’s general corporate funds and/or deposited with an independent third party for Participants in non-U.S. jurisdictions. No interest shall be paid to any Participant or credited under the Plan, except as may be required by local law in a non-U.S. jurisdiction. If the segregation of funds and/or payment of interest on any Participant’s account is so required, such provisions shall apply to all Participants in the relevant Offering except to the extent otherwise permitted by U.S. Treasury Regulation Section 1.423-2(f). With respect to any Offering under the Non-Section 423 Component, the payment of interest shall apply as determined by the Administrator (but absent any such determination, no interest shall apply).</w:t>
      </w:r>
    </w:p>
    <w:p>
      <w:pPr>
        <w:spacing w:after="0" w:line="165" w:lineRule="exact"/>
        <w:rPr>
          <w:sz w:val="20"/>
          <w:szCs w:val="20"/>
          <w:color w:val="auto"/>
        </w:rPr>
      </w:pPr>
    </w:p>
    <w:p>
      <w:pPr>
        <w:ind w:right="20" w:firstLine="1321"/>
        <w:spacing w:after="0" w:line="279" w:lineRule="auto"/>
        <w:rPr>
          <w:sz w:val="20"/>
          <w:szCs w:val="20"/>
          <w:color w:val="auto"/>
        </w:rPr>
      </w:pPr>
      <w:r>
        <w:rPr>
          <w:rFonts w:ascii="Arial" w:cs="Arial" w:eastAsia="Arial" w:hAnsi="Arial"/>
          <w:sz w:val="17"/>
          <w:szCs w:val="17"/>
          <w:color w:val="auto"/>
        </w:rPr>
        <w:t xml:space="preserve">7.7 </w:t>
      </w:r>
      <w:r>
        <w:rPr>
          <w:rFonts w:ascii="Arial" w:cs="Arial" w:eastAsia="Arial" w:hAnsi="Arial"/>
          <w:sz w:val="17"/>
          <w:szCs w:val="17"/>
          <w:u w:val="single" w:color="auto"/>
          <w:color w:val="auto"/>
        </w:rPr>
        <w:t>Term; Approval by Stockholders</w:t>
      </w:r>
      <w:r>
        <w:rPr>
          <w:rFonts w:ascii="Arial" w:cs="Arial" w:eastAsia="Arial" w:hAnsi="Arial"/>
          <w:sz w:val="17"/>
          <w:szCs w:val="17"/>
          <w:color w:val="auto"/>
        </w:rPr>
        <w:t xml:space="preserve">. No Option may be granted during any period of suspension of the Plan or after termination of the Plan. The Plan shall be submitted for the approval of the Company’s stockholders within twelve (12) months after the date of the Board’s initial adoption of the Plan. Options may be granted prior to such stockholder approval;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such Options shall not be exercisable prior to the time when the Plan is approved by the stockholders;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if such approval has not been obtained by</w:t>
      </w:r>
    </w:p>
    <w:p>
      <w:pPr>
        <w:spacing w:after="0" w:line="171"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8" w:name="page119"/>
    <w:bookmarkEnd w:id="118"/>
    <w:p>
      <w:pPr>
        <w:ind w:right="320"/>
        <w:spacing w:after="0" w:line="277" w:lineRule="auto"/>
        <w:rPr>
          <w:sz w:val="20"/>
          <w:szCs w:val="20"/>
          <w:color w:val="auto"/>
        </w:rPr>
      </w:pPr>
      <w:r>
        <w:rPr>
          <w:rFonts w:ascii="Arial" w:cs="Arial" w:eastAsia="Arial" w:hAnsi="Arial"/>
          <w:sz w:val="18"/>
          <w:szCs w:val="18"/>
          <w:color w:val="auto"/>
        </w:rPr>
        <w:t>the end of said twelve (12)-month period, all Options previously granted under the Plan shall thereupon terminate and be canceled and become null and void without being exercised.</w:t>
      </w:r>
    </w:p>
    <w:p>
      <w:pPr>
        <w:spacing w:after="0" w:line="170" w:lineRule="exact"/>
        <w:rPr>
          <w:sz w:val="20"/>
          <w:szCs w:val="20"/>
          <w:color w:val="auto"/>
        </w:rPr>
      </w:pPr>
    </w:p>
    <w:p>
      <w:pPr>
        <w:ind w:right="120" w:firstLine="1321"/>
        <w:spacing w:after="0" w:line="255"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Effect Upon Other Plans</w:t>
      </w:r>
      <w:r>
        <w:rPr>
          <w:rFonts w:ascii="Arial" w:cs="Arial" w:eastAsia="Arial" w:hAnsi="Arial"/>
          <w:sz w:val="18"/>
          <w:szCs w:val="18"/>
          <w:color w:val="auto"/>
        </w:rPr>
        <w:t>. The adoption of the Plan shall not affect any other compensation or incentive plans in effect for the Company, any Parent or any Subsidiary. Nothing in the Plan shall be construed to limit the right of the Company, any Parent or any Subsidiary (a) to establish any other forms of incentives or compensation for Employees of the Company or any Parent or any Subsidiary, or (b) to grant or assume Options otherwise than under the Plan in connection with any proper corporate purpose, including, but not by way of limitation, the grant or assumption of options in connection with the acquisition, by purchase, lease, merger, consolidation or otherwise, of the business, stock or assets of any corporation, firm or association.</w:t>
      </w:r>
    </w:p>
    <w:p>
      <w:pPr>
        <w:spacing w:after="0" w:line="192" w:lineRule="exact"/>
        <w:rPr>
          <w:sz w:val="20"/>
          <w:szCs w:val="20"/>
          <w:color w:val="auto"/>
        </w:rPr>
      </w:pPr>
    </w:p>
    <w:p>
      <w:pPr>
        <w:ind w:right="300" w:firstLine="1321"/>
        <w:spacing w:after="0" w:line="257" w:lineRule="auto"/>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u w:val="single" w:color="auto"/>
          <w:color w:val="auto"/>
        </w:rPr>
        <w:t>Conformity to Securities Laws</w:t>
      </w:r>
      <w:r>
        <w:rPr>
          <w:rFonts w:ascii="Arial" w:cs="Arial" w:eastAsia="Arial" w:hAnsi="Arial"/>
          <w:sz w:val="18"/>
          <w:szCs w:val="18"/>
          <w:color w:val="auto"/>
        </w:rPr>
        <w:t>. Notwithstanding any other provision of the Plan, the Plan and the participation in the Plan by any individual who is then subject to Section 16 of the Exchange Act shall be subject to any additional limitations set forth in any applicable exemption rule under Section 16 of the Exchange Act (including any amendment to Rule 16b-3 of the Exchange Act) that are requirements for the application of such exemptive rule. To the extent permitted by applicable law, the Plan shall be deemed amended to the extent necessary to conform to such applicable exemptive rule.</w:t>
      </w:r>
    </w:p>
    <w:p>
      <w:pPr>
        <w:spacing w:after="0" w:line="188" w:lineRule="exact"/>
        <w:rPr>
          <w:sz w:val="20"/>
          <w:szCs w:val="20"/>
          <w:color w:val="auto"/>
        </w:rPr>
      </w:pPr>
    </w:p>
    <w:p>
      <w:pPr>
        <w:ind w:right="80" w:firstLine="1321"/>
        <w:spacing w:after="0" w:line="257" w:lineRule="auto"/>
        <w:rPr>
          <w:sz w:val="20"/>
          <w:szCs w:val="20"/>
          <w:color w:val="auto"/>
        </w:rPr>
      </w:pPr>
      <w:r>
        <w:rPr>
          <w:rFonts w:ascii="Arial" w:cs="Arial" w:eastAsia="Arial" w:hAnsi="Arial"/>
          <w:sz w:val="18"/>
          <w:szCs w:val="18"/>
          <w:color w:val="auto"/>
        </w:rPr>
        <w:t xml:space="preserve">7.10 </w:t>
      </w:r>
      <w:r>
        <w:rPr>
          <w:rFonts w:ascii="Arial" w:cs="Arial" w:eastAsia="Arial" w:hAnsi="Arial"/>
          <w:sz w:val="18"/>
          <w:szCs w:val="18"/>
          <w:u w:val="single" w:color="auto"/>
          <w:color w:val="auto"/>
        </w:rPr>
        <w:t>Notice of Disposition of Shares</w:t>
      </w:r>
      <w:r>
        <w:rPr>
          <w:rFonts w:ascii="Arial" w:cs="Arial" w:eastAsia="Arial" w:hAnsi="Arial"/>
          <w:sz w:val="18"/>
          <w:szCs w:val="18"/>
          <w:color w:val="auto"/>
        </w:rPr>
        <w:t>. Each Participant in the Section 423 Component shall give the Company prompt notice of any disposition or other transfer of any shares of Common Stock, acquired pursuant to the exercise of an Option granted under the Section 423 Component, if such disposition or transfer is made (a) within two (2) years after the applicable Grant Date or (b) within one (1) year after the transfer of such shares of Common Stock to such Participant upon exercise of such Option. The Company may direct that any certificates evidencing shares acquired pursuant to the Plan refer to such requirement.</w:t>
      </w:r>
    </w:p>
    <w:p>
      <w:pPr>
        <w:spacing w:after="0" w:line="188" w:lineRule="exact"/>
        <w:rPr>
          <w:sz w:val="20"/>
          <w:szCs w:val="20"/>
          <w:color w:val="auto"/>
        </w:rPr>
      </w:pPr>
    </w:p>
    <w:p>
      <w:pPr>
        <w:ind w:right="20" w:firstLine="1321"/>
        <w:spacing w:after="0" w:line="263"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u w:val="single" w:color="auto"/>
          <w:color w:val="auto"/>
        </w:rPr>
        <w:t>Tax Withholding</w:t>
      </w:r>
      <w:r>
        <w:rPr>
          <w:rFonts w:ascii="Arial" w:cs="Arial" w:eastAsia="Arial" w:hAnsi="Arial"/>
          <w:sz w:val="18"/>
          <w:szCs w:val="18"/>
          <w:color w:val="auto"/>
        </w:rPr>
        <w:t>. The Company or any Parent or any Subsidiary shall be entitled to require payment in cash or deduction from other compensation payable to each Participant of any sums required by federal, state or local tax law to be withheld with respect to any purchase of shares of Common Stock under the Plan or any sale of such shares.</w:t>
      </w:r>
    </w:p>
    <w:p>
      <w:pPr>
        <w:spacing w:after="0" w:line="184" w:lineRule="exact"/>
        <w:rPr>
          <w:sz w:val="20"/>
          <w:szCs w:val="20"/>
          <w:color w:val="auto"/>
        </w:rPr>
      </w:pPr>
    </w:p>
    <w:p>
      <w:pPr>
        <w:ind w:right="180" w:firstLine="1321"/>
        <w:spacing w:after="0" w:line="277" w:lineRule="auto"/>
        <w:rPr>
          <w:sz w:val="20"/>
          <w:szCs w:val="20"/>
          <w:color w:val="auto"/>
        </w:rPr>
      </w:pPr>
      <w:r>
        <w:rPr>
          <w:rFonts w:ascii="Arial" w:cs="Arial" w:eastAsia="Arial" w:hAnsi="Arial"/>
          <w:sz w:val="18"/>
          <w:szCs w:val="18"/>
          <w:color w:val="auto"/>
        </w:rPr>
        <w:t xml:space="preserve">7.12 </w:t>
      </w: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all rights and obligations thereunder shall be construed and enforced in accordance with the laws of the State of Delaware without regard to the conflict of law rules thereof or of any other jurisdiction.</w:t>
      </w:r>
    </w:p>
    <w:p>
      <w:pPr>
        <w:spacing w:after="0" w:line="170" w:lineRule="exact"/>
        <w:rPr>
          <w:sz w:val="20"/>
          <w:szCs w:val="20"/>
          <w:color w:val="auto"/>
        </w:rPr>
      </w:pPr>
    </w:p>
    <w:p>
      <w:pPr>
        <w:ind w:right="40" w:firstLine="1321"/>
        <w:spacing w:after="0" w:line="263" w:lineRule="auto"/>
        <w:rPr>
          <w:sz w:val="20"/>
          <w:szCs w:val="20"/>
          <w:color w:val="auto"/>
        </w:rPr>
      </w:pPr>
      <w:r>
        <w:rPr>
          <w:rFonts w:ascii="Arial" w:cs="Arial" w:eastAsia="Arial" w:hAnsi="Arial"/>
          <w:sz w:val="18"/>
          <w:szCs w:val="18"/>
          <w:color w:val="auto"/>
        </w:rPr>
        <w:t xml:space="preserve">7.13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184"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 xml:space="preserve">7.14 </w:t>
      </w:r>
      <w:r>
        <w:rPr>
          <w:rFonts w:ascii="Arial" w:cs="Arial" w:eastAsia="Arial" w:hAnsi="Arial"/>
          <w:sz w:val="18"/>
          <w:szCs w:val="18"/>
          <w:u w:val="single" w:color="auto"/>
          <w:color w:val="auto"/>
        </w:rPr>
        <w:t>Conditions To Issuance of Shares</w:t>
      </w:r>
      <w:r>
        <w:rPr>
          <w:rFonts w:ascii="Arial" w:cs="Arial" w:eastAsia="Arial" w:hAnsi="Arial"/>
          <w:sz w:val="18"/>
          <w:szCs w:val="18"/>
          <w:color w:val="auto"/>
        </w:rPr>
        <w:t>.</w:t>
      </w:r>
    </w:p>
    <w:p>
      <w:pPr>
        <w:spacing w:after="0" w:line="225" w:lineRule="exact"/>
        <w:rPr>
          <w:sz w:val="20"/>
          <w:szCs w:val="20"/>
          <w:color w:val="auto"/>
        </w:rPr>
      </w:pPr>
    </w:p>
    <w:p>
      <w:pPr>
        <w:ind w:firstLine="1917"/>
        <w:spacing w:after="0" w:line="254" w:lineRule="auto"/>
        <w:tabs>
          <w:tab w:leader="none" w:pos="2154"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Notwithstanding anything herein to the contrary, the Company shall not be required to issue or deliver any certificates or make any book entries evidencing shares of Common Stock pursuant to the exercise of an Option by a Participant, unless and until the Board or the Committee has determined, with advice of counsel, that the issuance of such shares of Common Stock is in compliance with all applicable laws, regulations of governmental authorities and, if applicable, the requirements of any securities exchange or automated quotation system on which the shares of Common Stock are listed or traded, and the shares of Common Stock are covered by an effective registration statement or applicable exemption from registration. In addition to the terms and conditions provided herein, the Board or the Committee may require that a Participant make such reasonable covenants, agreements, and representations as the Board or the Committee, in its discretion, deems advisable in order to comply with any such laws, regulations, or requirements.</w:t>
      </w:r>
    </w:p>
    <w:p>
      <w:pPr>
        <w:spacing w:after="0" w:line="191" w:lineRule="exact"/>
        <w:rPr>
          <w:rFonts w:ascii="Arial" w:cs="Arial" w:eastAsia="Arial" w:hAnsi="Arial"/>
          <w:sz w:val="18"/>
          <w:szCs w:val="18"/>
          <w:color w:val="auto"/>
        </w:rPr>
      </w:pPr>
    </w:p>
    <w:p>
      <w:pPr>
        <w:ind w:right="140" w:firstLine="1917"/>
        <w:spacing w:after="0" w:line="311" w:lineRule="auto"/>
        <w:tabs>
          <w:tab w:leader="none" w:pos="2164" w:val="left"/>
        </w:tabs>
        <w:numPr>
          <w:ilvl w:val="0"/>
          <w:numId w:val="73"/>
        </w:numPr>
        <w:rPr>
          <w:rFonts w:ascii="Arial" w:cs="Arial" w:eastAsia="Arial" w:hAnsi="Arial"/>
          <w:sz w:val="16"/>
          <w:szCs w:val="16"/>
          <w:color w:val="auto"/>
        </w:rPr>
      </w:pPr>
      <w:r>
        <w:rPr>
          <w:rFonts w:ascii="Arial" w:cs="Arial" w:eastAsia="Arial" w:hAnsi="Arial"/>
          <w:sz w:val="16"/>
          <w:szCs w:val="16"/>
          <w:color w:val="auto"/>
        </w:rPr>
        <w:t>All certificates for shares of Common Stock delivered pursuant to the Plan and all shares of Common Stock issued pursuant to book entry procedures are subject to any stop-transfer orders and other restrictions as the Committee deems necessary or advisable to comply with federal, state, or foreign securities or other laws, rules and regulations and the rules of any securities exchange or automated quotation system on which</w:t>
      </w:r>
    </w:p>
    <w:p>
      <w:pPr>
        <w:spacing w:after="0" w:line="149"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9" w:name="page120"/>
    <w:bookmarkEnd w:id="119"/>
    <w:p>
      <w:pPr>
        <w:spacing w:after="0" w:line="277" w:lineRule="auto"/>
        <w:rPr>
          <w:sz w:val="20"/>
          <w:szCs w:val="20"/>
          <w:color w:val="auto"/>
        </w:rPr>
      </w:pPr>
      <w:r>
        <w:rPr>
          <w:rFonts w:ascii="Arial" w:cs="Arial" w:eastAsia="Arial" w:hAnsi="Arial"/>
          <w:sz w:val="18"/>
          <w:szCs w:val="18"/>
          <w:color w:val="auto"/>
        </w:rPr>
        <w:t>the shares of Common Stock are listed, quoted, or traded. The Committee may place legends on any certificate or book entry evidencing shares of Common Stock to reference restrictions applicable to the shares of Common Stock.</w:t>
      </w:r>
    </w:p>
    <w:p>
      <w:pPr>
        <w:spacing w:after="0" w:line="170" w:lineRule="exact"/>
        <w:rPr>
          <w:sz w:val="20"/>
          <w:szCs w:val="20"/>
          <w:color w:val="auto"/>
        </w:rPr>
      </w:pPr>
    </w:p>
    <w:p>
      <w:pPr>
        <w:ind w:right="160" w:firstLine="1917"/>
        <w:spacing w:after="0" w:line="342" w:lineRule="auto"/>
        <w:tabs>
          <w:tab w:leader="none" w:pos="2154"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Committee shall have the right to require any Participant to comply with any timing or other restrictions with respect to the settlement, distribution or exercise of any Option, including a window-period limitation, as may be imposed in the sole discretion of the Committee.</w:t>
      </w:r>
    </w:p>
    <w:p>
      <w:pPr>
        <w:spacing w:after="0" w:line="123" w:lineRule="exact"/>
        <w:rPr>
          <w:rFonts w:ascii="Arial" w:cs="Arial" w:eastAsia="Arial" w:hAnsi="Arial"/>
          <w:sz w:val="16"/>
          <w:szCs w:val="16"/>
          <w:color w:val="auto"/>
        </w:rPr>
      </w:pPr>
    </w:p>
    <w:p>
      <w:pPr>
        <w:ind w:right="40" w:firstLine="1917"/>
        <w:spacing w:after="0" w:line="259" w:lineRule="auto"/>
        <w:tabs>
          <w:tab w:leader="none" w:pos="2164"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Notwithstanding any other provision of the Plan, unless otherwise determined by the Committee or required by any applicable law, rule or regulation, the Company may, in lieu of delivering to any Participant certificates evidencing shares of Common Stock issued in connection with any Option, record the issuance of shares of Common Stock in the books of the Company (or, as applicable, its transfer agent or stock plan administrator).</w:t>
      </w:r>
    </w:p>
    <w:p>
      <w:pPr>
        <w:spacing w:after="0" w:line="187" w:lineRule="exact"/>
        <w:rPr>
          <w:sz w:val="20"/>
          <w:szCs w:val="20"/>
          <w:color w:val="auto"/>
        </w:rPr>
      </w:pPr>
    </w:p>
    <w:p>
      <w:pPr>
        <w:ind w:right="40" w:firstLine="1321"/>
        <w:spacing w:after="0" w:line="272" w:lineRule="auto"/>
        <w:rPr>
          <w:sz w:val="20"/>
          <w:szCs w:val="20"/>
          <w:color w:val="auto"/>
        </w:rPr>
      </w:pPr>
      <w:r>
        <w:rPr>
          <w:rFonts w:ascii="Arial" w:cs="Arial" w:eastAsia="Arial" w:hAnsi="Arial"/>
          <w:sz w:val="17"/>
          <w:szCs w:val="17"/>
          <w:color w:val="auto"/>
        </w:rPr>
        <w:t xml:space="preserve">7.15 </w:t>
      </w:r>
      <w:r>
        <w:rPr>
          <w:rFonts w:ascii="Arial" w:cs="Arial" w:eastAsia="Arial" w:hAnsi="Arial"/>
          <w:sz w:val="17"/>
          <w:szCs w:val="17"/>
          <w:u w:val="single" w:color="auto"/>
          <w:color w:val="auto"/>
        </w:rPr>
        <w:t>Equal Rights and Privileges</w:t>
      </w:r>
      <w:r>
        <w:rPr>
          <w:rFonts w:ascii="Arial" w:cs="Arial" w:eastAsia="Arial" w:hAnsi="Arial"/>
          <w:sz w:val="17"/>
          <w:szCs w:val="17"/>
          <w:color w:val="auto"/>
        </w:rPr>
        <w:t>. All Eligible Employees of the Company (or of any Designated Subsidiary) granted Options pursuant to an Offering under the Section 423 Component shall have equal rights and privileges under this Plan to the extent required under Section 423 of the Code or the regulations promulgated thereunder so that the Section 423 Component qualifies as an “employee stock purchase plan” within the meaning of Section 423 of the Code or the Treasury Regulations thereunder. Any provision of the Section 423 Component that is inconsistent with Section 423 of the Code or the Treasury Regulations thereunder shall, without further act or amendment by the Company or the Board, be reformed to comply with the equal rights and privileges requirement of Section 423 of the Code. Eligible Employees participating in the Non-Section 423 Component need not have the same rights and privileges as Eligible Employees participating in the Section 423 Component.</w:t>
      </w:r>
    </w:p>
    <w:p>
      <w:pPr>
        <w:spacing w:after="0" w:line="177" w:lineRule="exact"/>
        <w:rPr>
          <w:sz w:val="20"/>
          <w:szCs w:val="20"/>
          <w:color w:val="auto"/>
        </w:rPr>
      </w:pPr>
    </w:p>
    <w:p>
      <w:pPr>
        <w:ind w:right="60" w:firstLine="1321"/>
        <w:spacing w:after="0" w:line="284" w:lineRule="auto"/>
        <w:rPr>
          <w:sz w:val="20"/>
          <w:szCs w:val="20"/>
          <w:color w:val="auto"/>
        </w:rPr>
      </w:pPr>
      <w:r>
        <w:rPr>
          <w:rFonts w:ascii="Arial" w:cs="Arial" w:eastAsia="Arial" w:hAnsi="Arial"/>
          <w:sz w:val="16"/>
          <w:szCs w:val="16"/>
          <w:color w:val="auto"/>
        </w:rPr>
        <w:t xml:space="preserve">7.16 </w:t>
      </w:r>
      <w:r>
        <w:rPr>
          <w:rFonts w:ascii="Arial" w:cs="Arial" w:eastAsia="Arial" w:hAnsi="Arial"/>
          <w:sz w:val="16"/>
          <w:szCs w:val="16"/>
          <w:u w:val="single" w:color="auto"/>
          <w:color w:val="auto"/>
        </w:rPr>
        <w:t>Rules Particular to Specific Countries</w:t>
      </w:r>
      <w:r>
        <w:rPr>
          <w:rFonts w:ascii="Arial" w:cs="Arial" w:eastAsia="Arial" w:hAnsi="Arial"/>
          <w:sz w:val="16"/>
          <w:szCs w:val="16"/>
          <w:color w:val="auto"/>
        </w:rPr>
        <w:t>. Notwithstanding anything herein to the contrary, the terms and conditions of the Plan with respect to Participants who are tax residents of a particular non-U.S. country or who are foreign nationals or employed in non-U.S. jurisdictions may be subject to an addendum to the Plan in the form of an appendix or sub-plan (which appendix or sub-plan may be designed to govern Offerings under the Section 423 Component or the Non-Section 423 Component, as determined by the Administrator). To the extent that the terms and conditions set forth in an appendix or sub-plan conflict with any provisions of the Plan, the provisions of the appendix or sub-plan shall govern. The adoption of any such appendix or sub-plan shall be pursuant to Section 7.1 above. Without limiting the foregoing, the Administrator is specifically authorized to adopt rules and procedures, with respect to Participants who are foreign nationals or employed in non-U.S. jurisdictions, regarding the exclusion of particular Subsidiaries from participation in the Plan, eligibility to participate, the definition of Compensation, handling of payroll deductions or other contributions by Participants, payment of interest, conversion of local currency, data privacy security, payroll tax, withholding procedures, establishment of bank or trust accounts to hold payroll deductions or contributions. Without limiting the generality of the foregoing, the Administrator is specifically authorized to adopt rules and procedures regarding the exclusion of particular Subsidiaries from participation in the Plan, eligibility to participate, the definition of Compensation, handling of payroll deductions or other contributions by Participants, payment of interest, conversion of local currency, data privacy security, payroll tax, withholding procedures, establishment of bank or trust accounts to hold payroll deductions or contributions, determination of beneficiary designation requirements, and handling of stock certificates. The Administrator also is authorized to determine that, to the extent permitted by U.S. Treasury Regulation Section 1.423-2(f), the terms of a purchase right granted under the Plan or an Offering to citizens or residents of a non-U.S. jurisdiction will be less favorable than the terms of purchase rights granted under the Plan or the same Offering to Employees resident solely in the U.S. To the extent any sub-plan or appendix or other changes approved by the Administrator are inconsistent with the requirements of Section 423 of the Code or would jeopardize the tax-qualified status of the Section 423 Component, the change shall cause the Designated Subsidiaries affected thereby to be considered Designated Subsidiaries in a separate Offering under the Non-Section 423 Component instead of the Section 423 Component. To the extent any Employee of a Designated Subsidiary in the Section 423 Component is a citizen or resident of a foreign jurisdiction (without regard to whether they are also a U.S. citizen or a resident alien (within the meaning of Section 7701(b)(1)(A) of the Code)) and compliance with the laws of the foreign jurisdiction would cause the Section 423 Component, any Offering or the option to violate the requirements of Section 423 of the Code, such Employee shall be considered a Participant in a separate Offering under the Non-Section 423 Component.</w:t>
      </w:r>
    </w:p>
    <w:p>
      <w:pPr>
        <w:spacing w:after="0" w:line="394" w:lineRule="exact"/>
        <w:rPr>
          <w:sz w:val="20"/>
          <w:szCs w:val="20"/>
          <w:color w:val="auto"/>
        </w:rPr>
      </w:pPr>
    </w:p>
    <w:p>
      <w:pPr>
        <w:ind w:right="20" w:firstLine="1321"/>
        <w:spacing w:after="0" w:line="277" w:lineRule="auto"/>
        <w:rPr>
          <w:sz w:val="20"/>
          <w:szCs w:val="20"/>
          <w:color w:val="auto"/>
        </w:rPr>
      </w:pPr>
      <w:r>
        <w:rPr>
          <w:rFonts w:ascii="Arial" w:cs="Arial" w:eastAsia="Arial" w:hAnsi="Arial"/>
          <w:sz w:val="18"/>
          <w:szCs w:val="18"/>
          <w:color w:val="auto"/>
        </w:rPr>
        <w:t>Notwithstanding any other provisions of the Plan to the contrary, in non-U.S. jurisdictions where participation in the Plan through payroll deductions is prohibited, the Administrator may provide that an Eligible</w:t>
      </w:r>
    </w:p>
    <w:p>
      <w:pPr>
        <w:spacing w:after="0" w:line="170"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0" w:name="page121"/>
    <w:bookmarkEnd w:id="120"/>
    <w:p>
      <w:pPr>
        <w:ind w:right="320"/>
        <w:spacing w:after="0" w:line="286" w:lineRule="auto"/>
        <w:rPr>
          <w:sz w:val="20"/>
          <w:szCs w:val="20"/>
          <w:color w:val="auto"/>
        </w:rPr>
      </w:pPr>
      <w:r>
        <w:rPr>
          <w:rFonts w:ascii="Arial" w:cs="Arial" w:eastAsia="Arial" w:hAnsi="Arial"/>
          <w:sz w:val="17"/>
          <w:szCs w:val="17"/>
          <w:color w:val="auto"/>
        </w:rPr>
        <w:t>Employee may elect to participate through contributions to his or her account under the Plan in a form acceptable to the Administrator in lieu of or in addition to payroll deductions; provided, however, that, for any Offering under the Section 423 Component, the Administrator must determine that any alternative method of contribution is applied on an equal and uniform basis to all Eligible Employees in the Offering.</w:t>
      </w:r>
    </w:p>
    <w:p>
      <w:pPr>
        <w:spacing w:after="0" w:line="165" w:lineRule="exact"/>
        <w:rPr>
          <w:sz w:val="20"/>
          <w:szCs w:val="20"/>
          <w:color w:val="auto"/>
        </w:rPr>
      </w:pPr>
    </w:p>
    <w:p>
      <w:pPr>
        <w:ind w:right="20" w:firstLine="1321"/>
        <w:spacing w:after="0" w:line="269" w:lineRule="auto"/>
        <w:rPr>
          <w:sz w:val="20"/>
          <w:szCs w:val="20"/>
          <w:color w:val="auto"/>
        </w:rPr>
      </w:pPr>
      <w:r>
        <w:rPr>
          <w:rFonts w:ascii="Arial" w:cs="Arial" w:eastAsia="Arial" w:hAnsi="Arial"/>
          <w:sz w:val="17"/>
          <w:szCs w:val="17"/>
          <w:color w:val="auto"/>
        </w:rPr>
        <w:t xml:space="preserve">7.17 </w:t>
      </w:r>
      <w:r>
        <w:rPr>
          <w:rFonts w:ascii="Arial" w:cs="Arial" w:eastAsia="Arial" w:hAnsi="Arial"/>
          <w:sz w:val="17"/>
          <w:szCs w:val="17"/>
          <w:u w:val="single" w:color="auto"/>
          <w:color w:val="auto"/>
        </w:rPr>
        <w:t>Transfer of Employment</w:t>
      </w:r>
      <w:r>
        <w:rPr>
          <w:rFonts w:ascii="Arial" w:cs="Arial" w:eastAsia="Arial" w:hAnsi="Arial"/>
          <w:sz w:val="17"/>
          <w:szCs w:val="17"/>
          <w:color w:val="auto"/>
        </w:rPr>
        <w:t>. A transfer of employment from one Designated Subsidiary to another shall not be treated as a termination of employment. If a Participant transfers employment from the Company or any Designated Subsidiary participating in the Section 423 Component to a Designated Subsidiary participating in the Non-Section 423 Component, he or she shall immediately cease to participate in the Section 423 Component; however, any payroll deductions made for the Offering Period in which such transfer occurs shall be transferred to the Non-Section 423 Component, and such Participant shall immediately join the then current Offering under the Non-Section 423 Component upon the same terms and conditions in effect for his or her participation in the Section 423 Component, except for such modifications otherwise applicable for Participants in such Offering. A Participant who transfers employment from a Designated Subsidiary participating in the Non-Section 423 Component to the Company or any Designated Subsidiary participating in the Section 423 Component shall remain a Participant in the Non-Section 423 Component until the earlier of (i) the end of the current Offering Period under the Non-Section 423 Component, or (ii) the Enrollment Date of the first Offering Period in which he or she is eligible to participate following such transfer. Notwithstanding the foregoing, the Administrator may establish different rules to govern transfers of employment between companies participating in the Section 423 Component and the Non-Section 423 Component, consistent with the applicable requirements of Section 423 of the Code.</w:t>
      </w:r>
    </w:p>
    <w:p>
      <w:pPr>
        <w:spacing w:after="0" w:line="179" w:lineRule="exact"/>
        <w:rPr>
          <w:sz w:val="20"/>
          <w:szCs w:val="20"/>
          <w:color w:val="auto"/>
        </w:rPr>
      </w:pPr>
    </w:p>
    <w:p>
      <w:pPr>
        <w:ind w:firstLine="1321"/>
        <w:spacing w:after="0" w:line="271" w:lineRule="auto"/>
        <w:rPr>
          <w:sz w:val="20"/>
          <w:szCs w:val="20"/>
          <w:color w:val="auto"/>
        </w:rPr>
      </w:pPr>
      <w:r>
        <w:rPr>
          <w:rFonts w:ascii="Arial" w:cs="Arial" w:eastAsia="Arial" w:hAnsi="Arial"/>
          <w:sz w:val="17"/>
          <w:szCs w:val="17"/>
          <w:color w:val="auto"/>
        </w:rPr>
        <w:t xml:space="preserve">7.18 </w:t>
      </w:r>
      <w:r>
        <w:rPr>
          <w:rFonts w:ascii="Arial" w:cs="Arial" w:eastAsia="Arial" w:hAnsi="Arial"/>
          <w:sz w:val="17"/>
          <w:szCs w:val="17"/>
          <w:u w:val="single" w:color="auto"/>
          <w:color w:val="auto"/>
        </w:rPr>
        <w:t>Section 409A</w:t>
      </w:r>
      <w:r>
        <w:rPr>
          <w:rFonts w:ascii="Arial" w:cs="Arial" w:eastAsia="Arial" w:hAnsi="Arial"/>
          <w:sz w:val="17"/>
          <w:szCs w:val="17"/>
          <w:color w:val="auto"/>
        </w:rPr>
        <w:t>. The Section 423 Component of the Plan and the Options granted pursuant to Offerings thereunder are intended to be exempt from the application of Section 409A. Neither the Non-Section 423 Component nor any Option granted pursuant to an Offering thereunder is intended to constitute or provide for “nonqualified deferred compensation” within the meaning of Section 409A. Notwithstanding any provision of the Plan to the contrary, if the Administrator determines that any Option granted under the Plan may be or become subject to Section 409A or that any provision of the Plan may cause an Option granted under the Plan to be or become subject to Section 409A, the Administrator may adopt such amendments to the Plan and/or adopt other policies and procedures (including amendments, policies and procedures with retroactive effect), or take any other actions as the Administrator determines are necessary or appropriate to avoid the imposition of taxes under Section 409A, either through compliance with the requirements of Section 409A or with an available exemption therefrom.</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21" w:name="page122"/>
    <w:bookmarkEnd w:id="121"/>
    <w:p>
      <w:pPr>
        <w:ind w:right="140" w:firstLine="586"/>
        <w:spacing w:after="0" w:line="277" w:lineRule="auto"/>
        <w:rPr>
          <w:sz w:val="20"/>
          <w:szCs w:val="20"/>
          <w:color w:val="auto"/>
        </w:rPr>
      </w:pPr>
      <w:r>
        <w:rPr>
          <w:rFonts w:ascii="Arial" w:cs="Arial" w:eastAsia="Arial" w:hAnsi="Arial"/>
          <w:sz w:val="18"/>
          <w:szCs w:val="18"/>
          <w:color w:val="auto"/>
        </w:rPr>
        <w:t>I hereby certify that the foregoing Corsair Gaming, Inc. 2020 Employee Stock Purchase Plan was duly approved by the Board of Directors of Corsair Gaming, Inc. on September 11, 2020.</w:t>
      </w:r>
    </w:p>
    <w:p>
      <w:pPr>
        <w:spacing w:after="0" w:line="170" w:lineRule="exact"/>
        <w:rPr>
          <w:sz w:val="20"/>
          <w:szCs w:val="20"/>
          <w:color w:val="auto"/>
        </w:rPr>
      </w:pPr>
    </w:p>
    <w:p>
      <w:pPr>
        <w:ind w:firstLine="586"/>
        <w:spacing w:after="0" w:line="277" w:lineRule="auto"/>
        <w:rPr>
          <w:sz w:val="20"/>
          <w:szCs w:val="20"/>
          <w:color w:val="auto"/>
        </w:rPr>
      </w:pPr>
      <w:r>
        <w:rPr>
          <w:rFonts w:ascii="Arial" w:cs="Arial" w:eastAsia="Arial" w:hAnsi="Arial"/>
          <w:sz w:val="18"/>
          <w:szCs w:val="18"/>
          <w:color w:val="auto"/>
        </w:rPr>
        <w:t>I hereby certify that the foregoing Corsair Gaming, Inc. 2020 Employee Stock Purchase Plan was duly approved by the stockholders of Corsair Gaming, Inc. on September 15, 2020.</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Executed on this 22nd day of September, 2020.</w:t>
      </w:r>
    </w:p>
    <w:p>
      <w:pPr>
        <w:spacing w:after="0" w:line="225"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Carina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14605</wp:posOffset>
            </wp:positionV>
            <wp:extent cx="26746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0">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00"/>
          </w:cols>
          <w:pgMar w:left="320" w:top="557" w:right="679" w:bottom="1440" w:gutter="0" w:footer="0" w:header="0"/>
        </w:sectPr>
      </w:pPr>
    </w:p>
    <w:bookmarkStart w:id="122" w:name="page123"/>
    <w:bookmarkEnd w:id="122"/>
    <w:p>
      <w:pPr>
        <w:jc w:val="center"/>
        <w:ind w:right="-19"/>
        <w:spacing w:after="0"/>
        <w:rPr>
          <w:sz w:val="20"/>
          <w:szCs w:val="20"/>
          <w:color w:val="auto"/>
        </w:rPr>
      </w:pPr>
      <w:r>
        <w:rPr>
          <w:rFonts w:ascii="Arial" w:cs="Arial" w:eastAsia="Arial" w:hAnsi="Arial"/>
          <w:sz w:val="18"/>
          <w:szCs w:val="18"/>
          <w:b w:val="1"/>
          <w:bCs w:val="1"/>
          <w:color w:val="auto"/>
        </w:rPr>
        <w:t>CORSAIR GAMING,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2020 EMPLOYEE STOCK PURCHASE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SUB-PLAN FOR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INTERNATIONAL PARTICIPANTS</w:t>
      </w:r>
    </w:p>
    <w:p>
      <w:pPr>
        <w:spacing w:after="0" w:line="211" w:lineRule="exact"/>
        <w:rPr>
          <w:sz w:val="20"/>
          <w:szCs w:val="20"/>
          <w:color w:val="auto"/>
        </w:rPr>
      </w:pPr>
    </w:p>
    <w:p>
      <w:pPr>
        <w:ind w:left="580" w:hanging="572"/>
        <w:spacing w:after="0"/>
        <w:tabs>
          <w:tab w:leader="none" w:pos="580" w:val="left"/>
        </w:tabs>
        <w:numPr>
          <w:ilvl w:val="0"/>
          <w:numId w:val="75"/>
        </w:numPr>
        <w:rPr>
          <w:rFonts w:ascii="Arial" w:cs="Arial" w:eastAsia="Arial" w:hAnsi="Arial"/>
          <w:sz w:val="16"/>
          <w:szCs w:val="16"/>
          <w:b w:val="1"/>
          <w:bCs w:val="1"/>
          <w:color w:val="auto"/>
        </w:rPr>
      </w:pPr>
      <w:r>
        <w:rPr>
          <w:rFonts w:ascii="Arial" w:cs="Arial" w:eastAsia="Arial" w:hAnsi="Arial"/>
          <w:sz w:val="16"/>
          <w:szCs w:val="16"/>
          <w:b w:val="1"/>
          <w:bCs w:val="1"/>
          <w:color w:val="auto"/>
        </w:rPr>
        <w:t>APPLICATION</w:t>
      </w:r>
    </w:p>
    <w:p>
      <w:pPr>
        <w:spacing w:after="0" w:line="234" w:lineRule="exact"/>
        <w:rPr>
          <w:sz w:val="20"/>
          <w:szCs w:val="20"/>
          <w:color w:val="auto"/>
        </w:rPr>
      </w:pPr>
    </w:p>
    <w:p>
      <w:pPr>
        <w:ind w:right="40" w:firstLine="586"/>
        <w:spacing w:after="0" w:line="342" w:lineRule="auto"/>
        <w:rPr>
          <w:sz w:val="20"/>
          <w:szCs w:val="20"/>
          <w:color w:val="auto"/>
        </w:rPr>
      </w:pPr>
      <w:r>
        <w:rPr>
          <w:rFonts w:ascii="Arial" w:cs="Arial" w:eastAsia="Arial" w:hAnsi="Arial"/>
          <w:sz w:val="16"/>
          <w:szCs w:val="16"/>
          <w:color w:val="auto"/>
        </w:rPr>
        <w:t>This Sub-Plan for International Participants in the Corsair Gaming, Inc. 2020 Employee Stock Purchase Plan (this “</w:t>
      </w:r>
      <w:r>
        <w:rPr>
          <w:rFonts w:ascii="Arial" w:cs="Arial" w:eastAsia="Arial" w:hAnsi="Arial"/>
          <w:sz w:val="16"/>
          <w:szCs w:val="16"/>
          <w:u w:val="single" w:color="auto"/>
          <w:color w:val="auto"/>
        </w:rPr>
        <w:t>Sub-Plan</w:t>
      </w:r>
      <w:r>
        <w:rPr>
          <w:rFonts w:ascii="Arial" w:cs="Arial" w:eastAsia="Arial" w:hAnsi="Arial"/>
          <w:sz w:val="16"/>
          <w:szCs w:val="16"/>
          <w:color w:val="auto"/>
        </w:rPr>
        <w:t>”) sets forth additional terms and conditions applicable to the rights granted to, and the shares of Stock purchased by, Eligible Employees in the countries set forth below.</w:t>
      </w:r>
    </w:p>
    <w:p>
      <w:pPr>
        <w:spacing w:after="0" w:line="124" w:lineRule="exact"/>
        <w:rPr>
          <w:sz w:val="20"/>
          <w:szCs w:val="20"/>
          <w:color w:val="auto"/>
        </w:rPr>
      </w:pPr>
    </w:p>
    <w:p>
      <w:pPr>
        <w:ind w:right="20" w:firstLine="586"/>
        <w:spacing w:after="0" w:line="263" w:lineRule="auto"/>
        <w:rPr>
          <w:sz w:val="20"/>
          <w:szCs w:val="20"/>
          <w:color w:val="auto"/>
        </w:rPr>
      </w:pPr>
      <w:r>
        <w:rPr>
          <w:rFonts w:ascii="Arial" w:cs="Arial" w:eastAsia="Arial" w:hAnsi="Arial"/>
          <w:sz w:val="18"/>
          <w:szCs w:val="18"/>
          <w:color w:val="auto"/>
        </w:rPr>
        <w:t>The Plan and this Sub-Plan are complimentary to each other and shall be deemed as one. In any case of contradiction between the provisions of this Sub-Plan and the Plan, the provisions set out in the Sub-Plan shall prevail. Any capitalized terms used in this Sub-Plan but not defined shall have the meaning given to those terms in the Plan.</w:t>
      </w:r>
    </w:p>
    <w:p>
      <w:pPr>
        <w:spacing w:after="0" w:line="184" w:lineRule="exact"/>
        <w:rPr>
          <w:sz w:val="20"/>
          <w:szCs w:val="20"/>
          <w:color w:val="auto"/>
        </w:rPr>
      </w:pPr>
    </w:p>
    <w:p>
      <w:pPr>
        <w:ind w:left="580" w:hanging="572"/>
        <w:spacing w:after="0"/>
        <w:tabs>
          <w:tab w:leader="none" w:pos="580" w:val="left"/>
        </w:tabs>
        <w:numPr>
          <w:ilvl w:val="0"/>
          <w:numId w:val="76"/>
        </w:numPr>
        <w:rPr>
          <w:rFonts w:ascii="Arial" w:cs="Arial" w:eastAsia="Arial" w:hAnsi="Arial"/>
          <w:sz w:val="16"/>
          <w:szCs w:val="16"/>
          <w:b w:val="1"/>
          <w:bCs w:val="1"/>
          <w:color w:val="auto"/>
        </w:rPr>
      </w:pPr>
      <w:r>
        <w:rPr>
          <w:rFonts w:ascii="Arial" w:cs="Arial" w:eastAsia="Arial" w:hAnsi="Arial"/>
          <w:sz w:val="16"/>
          <w:szCs w:val="16"/>
          <w:b w:val="1"/>
          <w:bCs w:val="1"/>
          <w:color w:val="auto"/>
        </w:rPr>
        <w:t>GLOBAL PROVISIONS</w:t>
      </w:r>
    </w:p>
    <w:p>
      <w:pPr>
        <w:spacing w:after="0" w:line="234" w:lineRule="exact"/>
        <w:rPr>
          <w:rFonts w:ascii="Arial" w:cs="Arial" w:eastAsia="Arial" w:hAnsi="Arial"/>
          <w:sz w:val="16"/>
          <w:szCs w:val="16"/>
          <w:b w:val="1"/>
          <w:bCs w:val="1"/>
          <w:color w:val="auto"/>
        </w:rPr>
      </w:pPr>
    </w:p>
    <w:p>
      <w:pPr>
        <w:ind w:firstLine="594"/>
        <w:spacing w:after="0" w:line="284" w:lineRule="auto"/>
        <w:tabs>
          <w:tab w:leader="none" w:pos="831" w:val="left"/>
        </w:tabs>
        <w:numPr>
          <w:ilvl w:val="1"/>
          <w:numId w:val="76"/>
        </w:numPr>
        <w:rPr>
          <w:rFonts w:ascii="Arial" w:cs="Arial" w:eastAsia="Arial" w:hAnsi="Arial"/>
          <w:sz w:val="16"/>
          <w:szCs w:val="16"/>
          <w:color w:val="auto"/>
        </w:rPr>
      </w:pPr>
      <w:r>
        <w:rPr>
          <w:rFonts w:ascii="Arial" w:cs="Arial" w:eastAsia="Arial" w:hAnsi="Arial"/>
          <w:sz w:val="16"/>
          <w:szCs w:val="16"/>
          <w:u w:val="single" w:color="auto"/>
          <w:color w:val="auto"/>
        </w:rPr>
        <w:t>Data Protection</w:t>
      </w:r>
      <w:r>
        <w:rPr>
          <w:rFonts w:ascii="Arial" w:cs="Arial" w:eastAsia="Arial" w:hAnsi="Arial"/>
          <w:sz w:val="16"/>
          <w:szCs w:val="16"/>
          <w:color w:val="auto"/>
        </w:rPr>
        <w:t>. It shall be a term and condition for participation in the Plan that a Participant explicitly and unambiguously consent to the collection, use and transfer, in electronic or other form, of a Participant’s personal “Data” (as defined below) by and among, as applicable, the Company, any Parent or Subsidiary and a Participant’s employing entity (the “</w:t>
      </w:r>
      <w:r>
        <w:rPr>
          <w:rFonts w:ascii="Arial" w:cs="Arial" w:eastAsia="Arial" w:hAnsi="Arial"/>
          <w:sz w:val="16"/>
          <w:szCs w:val="16"/>
          <w:u w:val="single" w:color="auto"/>
          <w:color w:val="auto"/>
        </w:rPr>
        <w:t>Employer</w:t>
      </w:r>
      <w:r>
        <w:rPr>
          <w:rFonts w:ascii="Arial" w:cs="Arial" w:eastAsia="Arial" w:hAnsi="Arial"/>
          <w:sz w:val="16"/>
          <w:szCs w:val="16"/>
          <w:color w:val="auto"/>
        </w:rPr>
        <w:t>”), if different, and their affiliates (collectively, the “</w:t>
      </w:r>
      <w:r>
        <w:rPr>
          <w:rFonts w:ascii="Arial" w:cs="Arial" w:eastAsia="Arial" w:hAnsi="Arial"/>
          <w:sz w:val="16"/>
          <w:szCs w:val="16"/>
          <w:u w:val="single" w:color="auto"/>
          <w:color w:val="auto"/>
        </w:rPr>
        <w:t>Company Group</w:t>
      </w:r>
      <w:r>
        <w:rPr>
          <w:rFonts w:ascii="Arial" w:cs="Arial" w:eastAsia="Arial" w:hAnsi="Arial"/>
          <w:sz w:val="16"/>
          <w:szCs w:val="16"/>
          <w:color w:val="auto"/>
        </w:rPr>
        <w:t>”) for the exclusive purpose of implementing, administering and managing the Participant’s participation in the Plan. The Company Group holds certain personal information about the Participant, including, but not limited to, the Participant’s name, home address and telephone number, e-mail address, date of birth, employee identification number, NRIC or passport number or equivalent, salary, nationality, job title, any shares of stock or directorships held in the Company, details of all options or any other entitlement to shares of stock awarded, canceled, exercised, vested, unvested or outstanding in the Participant’s favor, for the purpose of implementing, administering and managing the Plan (“</w:t>
      </w:r>
      <w:r>
        <w:rPr>
          <w:rFonts w:ascii="Arial" w:cs="Arial" w:eastAsia="Arial" w:hAnsi="Arial"/>
          <w:sz w:val="16"/>
          <w:szCs w:val="16"/>
          <w:u w:val="single" w:color="auto"/>
          <w:color w:val="auto"/>
        </w:rPr>
        <w:t>Data</w:t>
      </w:r>
      <w:r>
        <w:rPr>
          <w:rFonts w:ascii="Arial" w:cs="Arial" w:eastAsia="Arial" w:hAnsi="Arial"/>
          <w:sz w:val="16"/>
          <w:szCs w:val="16"/>
          <w:color w:val="auto"/>
        </w:rPr>
        <w:t>”). Data will be transferred to such stock plan service providers, as may be prudently selected by the Company, which are assisting the Company with the implementation, administration and management of the Plan. The recipients of the Data may be located in the United States of America or elsewhere (and, if the Participant is a resident of a member state of the European Union, may be outside the European Economic Area) and that the recipient’s country (e.g., the United States of America) may have different data privacy laws and protections than the Participant’s country. The Participant may request a list with the names and addresses of all recipients of the Data by contacting his or her local human resources representative. Each Participant hereby authorizes the Company Group and any other possible recipients which may assist the Company (presently or in the future) with implementing, administering and managing the Plan to receive, possess, use, retain and transfer the Data, in electronic or other form, for the purposes of implementing, administering and managing the Participant’s participation in the Plan. Data will be held only as long as is necessary to implement, administer and manage the Participant’s participation in the Plan. The Company will also make the Data available to public authorities where required under locally applicable law. A Participant may, at any time, view Data, request additional information about the storage and processing of Data, require any necessary amendments to Data or refuse or withdraw the consents herein, in any case, without cost, by contacting in writing the Participant’s local human resources representative. A Participant’s refusal to provide consent or withdrawal of consent may affect the Participant’s ability to participate in the Plan. This section applies to information held, used or disclosed in any medium.</w:t>
      </w:r>
    </w:p>
    <w:p>
      <w:pPr>
        <w:spacing w:after="0" w:line="178"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u w:val="single" w:color="auto"/>
          <w:color w:val="auto"/>
        </w:rPr>
        <w:t>If Participant resides in the UK or the European Union, the Company Group will hold, collect and otherwise process certain Data as set out in the applicable Company’s GDPR-compliant data privacy notice, which will be or has been provided to the Participant separately. All personal data will be treated in accordance with applicable data protection laws and regulations.</w:t>
      </w:r>
    </w:p>
    <w:p>
      <w:pPr>
        <w:spacing w:after="0" w:line="180" w:lineRule="exact"/>
        <w:rPr>
          <w:sz w:val="20"/>
          <w:szCs w:val="20"/>
          <w:color w:val="auto"/>
        </w:rPr>
      </w:pPr>
    </w:p>
    <w:p>
      <w:pPr>
        <w:ind w:right="20" w:firstLine="594"/>
        <w:spacing w:after="0" w:line="311" w:lineRule="auto"/>
        <w:tabs>
          <w:tab w:leader="none" w:pos="841"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English Language</w:t>
      </w:r>
      <w:r>
        <w:rPr>
          <w:rFonts w:ascii="Arial" w:cs="Arial" w:eastAsia="Arial" w:hAnsi="Arial"/>
          <w:sz w:val="16"/>
          <w:szCs w:val="16"/>
          <w:color w:val="auto"/>
        </w:rPr>
        <w:t>. By participating in the Plan, each Participant acknowledges that such Participant is proficient in the English language, or has consulted with an advisor who is sufficiently proficient in English, so as to allow the Participant to understand the terms and conditions of the Plan, the Sub-Plan applicable to the Participant’s country of residence and any other related document under the Plan. If Participant has received the Plan, the Sub-</w:t>
      </w:r>
    </w:p>
    <w:p>
      <w:pPr>
        <w:spacing w:after="0" w:line="149"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23" w:name="page124"/>
    <w:bookmarkEnd w:id="123"/>
    <w:p>
      <w:pPr>
        <w:ind w:right="180"/>
        <w:spacing w:after="0" w:line="277" w:lineRule="auto"/>
        <w:rPr>
          <w:sz w:val="20"/>
          <w:szCs w:val="20"/>
          <w:color w:val="auto"/>
        </w:rPr>
      </w:pPr>
      <w:r>
        <w:rPr>
          <w:rFonts w:ascii="Arial" w:cs="Arial" w:eastAsia="Arial" w:hAnsi="Arial"/>
          <w:sz w:val="18"/>
          <w:szCs w:val="18"/>
          <w:color w:val="auto"/>
        </w:rPr>
        <w:t>Plan applicably to the Participant’s country of residence or any other document related to the Plan translated into a language other than English and if the meaning of the translated version is different than the English version, the English version will control.</w:t>
      </w:r>
    </w:p>
    <w:p>
      <w:pPr>
        <w:spacing w:after="0" w:line="170" w:lineRule="exact"/>
        <w:rPr>
          <w:sz w:val="20"/>
          <w:szCs w:val="20"/>
          <w:color w:val="auto"/>
        </w:rPr>
      </w:pPr>
    </w:p>
    <w:p>
      <w:pPr>
        <w:ind w:right="60" w:firstLine="594"/>
        <w:spacing w:after="0" w:line="273" w:lineRule="auto"/>
        <w:tabs>
          <w:tab w:leader="none" w:pos="831"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Currency</w:t>
      </w:r>
      <w:r>
        <w:rPr>
          <w:rFonts w:ascii="Arial" w:cs="Arial" w:eastAsia="Arial" w:hAnsi="Arial"/>
          <w:sz w:val="17"/>
          <w:szCs w:val="17"/>
          <w:color w:val="auto"/>
        </w:rPr>
        <w:t>. Each Participant understands that, if the Participant’s payroll deductions under the Plan are made in any currency other than U.S. dollars, such contributions will be converted to U.S. dollars on or prior to the date shares are purchased under the Plan using a prevailing exchange rate in effect at the time such conversion is performed, as determined by the Company. Each Participant understands and agrees that neither the Company, the Employer nor any affiliate shall be liable for any foreign exchange rate fluctuation between the Participant’s local currency and the U.S. dollar that may affect the value of the purchase rights granted to the Participant under the Plan, or of any amounts due to the Participant under the Plan or as a result of the subsequent sale of any shares of Common Stock acquired under the Plan.</w:t>
      </w:r>
    </w:p>
    <w:p>
      <w:pPr>
        <w:spacing w:after="0" w:line="177" w:lineRule="exact"/>
        <w:rPr>
          <w:rFonts w:ascii="Arial" w:cs="Arial" w:eastAsia="Arial" w:hAnsi="Arial"/>
          <w:sz w:val="17"/>
          <w:szCs w:val="17"/>
          <w:color w:val="auto"/>
        </w:rPr>
      </w:pPr>
    </w:p>
    <w:p>
      <w:pPr>
        <w:ind w:left="840" w:hanging="246"/>
        <w:spacing w:after="0"/>
        <w:tabs>
          <w:tab w:leader="none" w:pos="84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Acknowledgment of Nature of Plan and Rights</w:t>
      </w:r>
      <w:r>
        <w:rPr>
          <w:rFonts w:ascii="Arial" w:cs="Arial" w:eastAsia="Arial" w:hAnsi="Arial"/>
          <w:sz w:val="18"/>
          <w:szCs w:val="18"/>
          <w:color w:val="auto"/>
        </w:rPr>
        <w:t>. In participating in the Plan, each Participant acknowledges that:</w:t>
      </w:r>
    </w:p>
    <w:p>
      <w:pPr>
        <w:spacing w:after="0" w:line="225" w:lineRule="exact"/>
        <w:rPr>
          <w:rFonts w:ascii="Arial" w:cs="Arial" w:eastAsia="Arial" w:hAnsi="Arial"/>
          <w:sz w:val="18"/>
          <w:szCs w:val="18"/>
          <w:color w:val="auto"/>
        </w:rPr>
      </w:pPr>
    </w:p>
    <w:p>
      <w:pPr>
        <w:ind w:right="80" w:firstLine="1917"/>
        <w:spacing w:after="0" w:line="263" w:lineRule="auto"/>
        <w:tabs>
          <w:tab w:leader="none" w:pos="2124" w:val="left"/>
        </w:tabs>
        <w:numPr>
          <w:ilvl w:val="1"/>
          <w:numId w:val="78"/>
        </w:numPr>
        <w:rPr>
          <w:rFonts w:ascii="Arial" w:cs="Arial" w:eastAsia="Arial" w:hAnsi="Arial"/>
          <w:sz w:val="18"/>
          <w:szCs w:val="18"/>
          <w:color w:val="auto"/>
        </w:rPr>
      </w:pPr>
      <w:r>
        <w:rPr>
          <w:rFonts w:ascii="Arial" w:cs="Arial" w:eastAsia="Arial" w:hAnsi="Arial"/>
          <w:sz w:val="18"/>
          <w:szCs w:val="18"/>
          <w:color w:val="auto"/>
        </w:rPr>
        <w:t>for employment and labor law purposes, the rights granted and the shares of Common Stock purchased under the Plan are an extraordinary item that do not constitute wages of any kind for services of any kind rendered to the Company, any Parent or Subsidiary or the Employer, and the award of rights is outside the scope of Participant’s service contract, if any;</w:t>
      </w:r>
    </w:p>
    <w:p>
      <w:pPr>
        <w:spacing w:after="0" w:line="183" w:lineRule="exact"/>
        <w:rPr>
          <w:rFonts w:ascii="Arial" w:cs="Arial" w:eastAsia="Arial" w:hAnsi="Arial"/>
          <w:sz w:val="18"/>
          <w:szCs w:val="18"/>
          <w:color w:val="auto"/>
        </w:rPr>
      </w:pPr>
    </w:p>
    <w:p>
      <w:pPr>
        <w:ind w:right="120" w:firstLine="1917"/>
        <w:spacing w:after="0" w:line="301" w:lineRule="auto"/>
        <w:tabs>
          <w:tab w:leader="none" w:pos="2174" w:val="left"/>
        </w:tabs>
        <w:numPr>
          <w:ilvl w:val="1"/>
          <w:numId w:val="78"/>
        </w:numPr>
        <w:rPr>
          <w:rFonts w:ascii="Arial" w:cs="Arial" w:eastAsia="Arial" w:hAnsi="Arial"/>
          <w:sz w:val="16"/>
          <w:szCs w:val="16"/>
          <w:color w:val="auto"/>
        </w:rPr>
      </w:pPr>
      <w:r>
        <w:rPr>
          <w:rFonts w:ascii="Arial" w:cs="Arial" w:eastAsia="Arial" w:hAnsi="Arial"/>
          <w:sz w:val="16"/>
          <w:szCs w:val="16"/>
          <w:color w:val="auto"/>
        </w:rPr>
        <w:t>for employment and labor law purposes, the rights granted and the Common Stock purchased under the Plan are not part of normal or expected wages or salary for any purposes, including, but not limited to, calculation of any severance, resignation, termination, redundancy, dismissal, end of service payments, bonuses, holiday pay, long-service awards, pension or retirement benefits or similar payments and in no event should be considered as compensation for, or relating in any way to, past services for the Company, the Employer, any Parent or any Subsidiary of the Company;</w:t>
      </w:r>
    </w:p>
    <w:p>
      <w:pPr>
        <w:spacing w:after="0" w:line="157" w:lineRule="exact"/>
        <w:rPr>
          <w:rFonts w:ascii="Arial" w:cs="Arial" w:eastAsia="Arial" w:hAnsi="Arial"/>
          <w:sz w:val="16"/>
          <w:szCs w:val="16"/>
          <w:color w:val="auto"/>
        </w:rPr>
      </w:pPr>
    </w:p>
    <w:p>
      <w:pPr>
        <w:ind w:right="560" w:firstLine="1917"/>
        <w:spacing w:after="0" w:line="277" w:lineRule="auto"/>
        <w:tabs>
          <w:tab w:leader="none" w:pos="2224"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rights and the shares of Common Stock purchased under the Plan are not intended to be an integral component of compensation or to replace any pension rights or compensation;</w:t>
      </w:r>
    </w:p>
    <w:p>
      <w:pPr>
        <w:spacing w:after="0" w:line="170" w:lineRule="exact"/>
        <w:rPr>
          <w:rFonts w:ascii="Arial" w:cs="Arial" w:eastAsia="Arial" w:hAnsi="Arial"/>
          <w:sz w:val="18"/>
          <w:szCs w:val="18"/>
          <w:color w:val="auto"/>
        </w:rPr>
      </w:pPr>
    </w:p>
    <w:p>
      <w:pPr>
        <w:ind w:firstLine="1917"/>
        <w:spacing w:after="0" w:line="263" w:lineRule="auto"/>
        <w:tabs>
          <w:tab w:leader="none" w:pos="2214" w:val="left"/>
        </w:tabs>
        <w:numPr>
          <w:ilvl w:val="1"/>
          <w:numId w:val="78"/>
        </w:numPr>
        <w:rPr>
          <w:rFonts w:ascii="Arial" w:cs="Arial" w:eastAsia="Arial" w:hAnsi="Arial"/>
          <w:sz w:val="18"/>
          <w:szCs w:val="18"/>
          <w:color w:val="auto"/>
        </w:rPr>
      </w:pPr>
      <w:r>
        <w:rPr>
          <w:rFonts w:ascii="Arial" w:cs="Arial" w:eastAsia="Arial" w:hAnsi="Arial"/>
          <w:sz w:val="18"/>
          <w:szCs w:val="18"/>
          <w:color w:val="auto"/>
        </w:rPr>
        <w:t>neither the rights nor any provision of Plan or the policies adopted pursuant to the Plan confer upon any Participant any right with respect to service or continuation of current service and shall not be interpreted to form a service contract or relationship with the Company, the Employer, any Parent or any Subsidiary;</w:t>
      </w:r>
    </w:p>
    <w:p>
      <w:pPr>
        <w:spacing w:after="0" w:line="183" w:lineRule="exact"/>
        <w:rPr>
          <w:rFonts w:ascii="Arial" w:cs="Arial" w:eastAsia="Arial" w:hAnsi="Arial"/>
          <w:sz w:val="18"/>
          <w:szCs w:val="18"/>
          <w:color w:val="auto"/>
        </w:rPr>
      </w:pPr>
    </w:p>
    <w:p>
      <w:pPr>
        <w:ind w:left="2180" w:hanging="263"/>
        <w:spacing w:after="0"/>
        <w:tabs>
          <w:tab w:leader="none" w:pos="21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future value of the underlying shares of Common Stock is unknown and cannot be predicted with certainty;</w:t>
      </w:r>
    </w:p>
    <w:p>
      <w:pPr>
        <w:spacing w:after="0" w:line="225" w:lineRule="exact"/>
        <w:rPr>
          <w:rFonts w:ascii="Arial" w:cs="Arial" w:eastAsia="Arial" w:hAnsi="Arial"/>
          <w:sz w:val="18"/>
          <w:szCs w:val="18"/>
          <w:color w:val="auto"/>
        </w:rPr>
      </w:pPr>
    </w:p>
    <w:p>
      <w:pPr>
        <w:ind w:left="2220" w:hanging="303"/>
        <w:spacing w:after="0"/>
        <w:tabs>
          <w:tab w:leader="none" w:pos="22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if the underlying shares of Common Stock do not increase in value, the right may have no value; and</w:t>
      </w:r>
    </w:p>
    <w:p>
      <w:pPr>
        <w:spacing w:after="0" w:line="225" w:lineRule="exact"/>
        <w:rPr>
          <w:rFonts w:ascii="Arial" w:cs="Arial" w:eastAsia="Arial" w:hAnsi="Arial"/>
          <w:sz w:val="18"/>
          <w:szCs w:val="18"/>
          <w:color w:val="auto"/>
        </w:rPr>
      </w:pPr>
    </w:p>
    <w:p>
      <w:pPr>
        <w:ind w:right="200" w:firstLine="1917"/>
        <w:spacing w:after="0" w:line="277" w:lineRule="auto"/>
        <w:tabs>
          <w:tab w:leader="none" w:pos="2264" w:val="left"/>
        </w:tabs>
        <w:numPr>
          <w:ilvl w:val="1"/>
          <w:numId w:val="78"/>
        </w:numPr>
        <w:rPr>
          <w:rFonts w:ascii="Arial" w:cs="Arial" w:eastAsia="Arial" w:hAnsi="Arial"/>
          <w:sz w:val="18"/>
          <w:szCs w:val="18"/>
          <w:color w:val="auto"/>
        </w:rPr>
      </w:pPr>
      <w:r>
        <w:rPr>
          <w:rFonts w:ascii="Arial" w:cs="Arial" w:eastAsia="Arial" w:hAnsi="Arial"/>
          <w:sz w:val="18"/>
          <w:szCs w:val="18"/>
          <w:color w:val="auto"/>
        </w:rPr>
        <w:t>if a Participant acquires shares of Common Stock, the value of the shares of Common Stock acquired upon purchase may increase or decrease in value, even below the original price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24" w:name="page125"/>
    <w:bookmarkEnd w:id="124"/>
    <w:p>
      <w:pPr>
        <w:jc w:val="center"/>
        <w:ind w:right="-19"/>
        <w:spacing w:after="0"/>
        <w:rPr>
          <w:sz w:val="20"/>
          <w:szCs w:val="20"/>
          <w:color w:val="auto"/>
        </w:rPr>
      </w:pPr>
      <w:r>
        <w:rPr>
          <w:rFonts w:ascii="Arial" w:cs="Arial" w:eastAsia="Arial" w:hAnsi="Arial"/>
          <w:sz w:val="18"/>
          <w:szCs w:val="18"/>
          <w:b w:val="1"/>
          <w:bCs w:val="1"/>
          <w:color w:val="auto"/>
        </w:rPr>
        <w:t>CORSAIR GAMING,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2020 EMPLOYEE STOCK PURCHASE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SUB-PLAN FOR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INTERNATIONAL PARTICIPANTS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CANADA</w:t>
      </w:r>
    </w:p>
    <w:p>
      <w:pPr>
        <w:spacing w:after="0" w:line="230" w:lineRule="exact"/>
        <w:rPr>
          <w:sz w:val="20"/>
          <w:szCs w:val="20"/>
          <w:color w:val="auto"/>
        </w:rPr>
      </w:pPr>
    </w:p>
    <w:p>
      <w:pPr>
        <w:ind w:left="580" w:hanging="572"/>
        <w:spacing w:after="0"/>
        <w:tabs>
          <w:tab w:leader="none" w:pos="580" w:val="left"/>
        </w:tabs>
        <w:numPr>
          <w:ilvl w:val="0"/>
          <w:numId w:val="79"/>
        </w:numPr>
        <w:rPr>
          <w:rFonts w:ascii="Arial" w:cs="Arial" w:eastAsia="Arial" w:hAnsi="Arial"/>
          <w:sz w:val="16"/>
          <w:szCs w:val="16"/>
          <w:b w:val="1"/>
          <w:bCs w:val="1"/>
          <w:color w:val="auto"/>
        </w:rPr>
      </w:pPr>
      <w:r>
        <w:rPr>
          <w:rFonts w:ascii="Arial" w:cs="Arial" w:eastAsia="Arial" w:hAnsi="Arial"/>
          <w:sz w:val="16"/>
          <w:szCs w:val="16"/>
          <w:b w:val="1"/>
          <w:bCs w:val="1"/>
          <w:color w:val="auto"/>
        </w:rPr>
        <w:t>APPLICATION</w:t>
      </w:r>
    </w:p>
    <w:p>
      <w:pPr>
        <w:spacing w:after="0" w:line="234" w:lineRule="exact"/>
        <w:rPr>
          <w:sz w:val="20"/>
          <w:szCs w:val="20"/>
          <w:color w:val="auto"/>
        </w:rPr>
      </w:pPr>
    </w:p>
    <w:p>
      <w:pPr>
        <w:ind w:right="20" w:firstLine="586"/>
        <w:spacing w:after="0" w:line="263" w:lineRule="auto"/>
        <w:rPr>
          <w:sz w:val="20"/>
          <w:szCs w:val="20"/>
          <w:color w:val="auto"/>
        </w:rPr>
      </w:pPr>
      <w:r>
        <w:rPr>
          <w:rFonts w:ascii="Arial" w:cs="Arial" w:eastAsia="Arial" w:hAnsi="Arial"/>
          <w:sz w:val="18"/>
          <w:szCs w:val="18"/>
          <w:color w:val="auto"/>
        </w:rPr>
        <w:t>This section sets forth additional terms and conditions applicable to the rights granted to, and the Shares purchased by, Eligible Employees who are (or are deemed to be) resident in Canada for the purpose of payment of taxes or who exercise all of their employment duties in Canada and forms an integral part of the Plan and Sub-Plan.</w:t>
      </w:r>
    </w:p>
    <w:p>
      <w:pPr>
        <w:spacing w:after="0" w:line="184" w:lineRule="exact"/>
        <w:rPr>
          <w:sz w:val="20"/>
          <w:szCs w:val="20"/>
          <w:color w:val="auto"/>
        </w:rPr>
      </w:pPr>
    </w:p>
    <w:p>
      <w:pPr>
        <w:ind w:left="580" w:hanging="572"/>
        <w:spacing w:after="0"/>
        <w:tabs>
          <w:tab w:leader="none" w:pos="580" w:val="left"/>
        </w:tabs>
        <w:numPr>
          <w:ilvl w:val="0"/>
          <w:numId w:val="80"/>
        </w:numPr>
        <w:rPr>
          <w:rFonts w:ascii="Arial" w:cs="Arial" w:eastAsia="Arial" w:hAnsi="Arial"/>
          <w:sz w:val="16"/>
          <w:szCs w:val="16"/>
          <w:b w:val="1"/>
          <w:bCs w:val="1"/>
          <w:color w:val="auto"/>
        </w:rPr>
      </w:pPr>
      <w:r>
        <w:rPr>
          <w:rFonts w:ascii="Arial" w:cs="Arial" w:eastAsia="Arial" w:hAnsi="Arial"/>
          <w:sz w:val="16"/>
          <w:szCs w:val="16"/>
          <w:b w:val="1"/>
          <w:bCs w:val="1"/>
          <w:color w:val="auto"/>
        </w:rPr>
        <w:t>LANGUAGE CONSENT</w:t>
      </w:r>
    </w:p>
    <w:p>
      <w:pPr>
        <w:spacing w:after="0" w:line="234" w:lineRule="exact"/>
        <w:rPr>
          <w:sz w:val="20"/>
          <w:szCs w:val="20"/>
          <w:color w:val="auto"/>
        </w:rPr>
      </w:pPr>
    </w:p>
    <w:p>
      <w:pPr>
        <w:ind w:right="280" w:firstLine="586"/>
        <w:spacing w:after="0" w:line="277" w:lineRule="auto"/>
        <w:rPr>
          <w:sz w:val="20"/>
          <w:szCs w:val="20"/>
          <w:color w:val="auto"/>
        </w:rPr>
      </w:pPr>
      <w:r>
        <w:rPr>
          <w:rFonts w:ascii="Arial" w:cs="Arial" w:eastAsia="Arial" w:hAnsi="Arial"/>
          <w:sz w:val="18"/>
          <w:szCs w:val="18"/>
          <w:color w:val="auto"/>
        </w:rPr>
        <w:t>The parties acknowledge that it is their express wish that the Plan, as well as all documents, notices and legal proceedings entered into, given or instituted pursuant hereto or relating directly or indirectly hereto, be drawn up in English.</w:t>
      </w:r>
    </w:p>
    <w:p>
      <w:pPr>
        <w:spacing w:after="0" w:line="170" w:lineRule="exact"/>
        <w:rPr>
          <w:sz w:val="20"/>
          <w:szCs w:val="20"/>
          <w:color w:val="auto"/>
        </w:rPr>
      </w:pPr>
    </w:p>
    <w:p>
      <w:pPr>
        <w:ind w:right="480" w:firstLine="586"/>
        <w:spacing w:after="0" w:line="381" w:lineRule="auto"/>
        <w:rPr>
          <w:sz w:val="20"/>
          <w:szCs w:val="20"/>
          <w:color w:val="auto"/>
        </w:rPr>
      </w:pPr>
      <w:r>
        <w:rPr>
          <w:rFonts w:ascii="Arial" w:cs="Arial" w:eastAsia="Arial" w:hAnsi="Arial"/>
          <w:sz w:val="15"/>
          <w:szCs w:val="15"/>
          <w:b w:val="1"/>
          <w:bCs w:val="1"/>
          <w:i w:val="1"/>
          <w:iCs w:val="1"/>
          <w:color w:val="auto"/>
        </w:rPr>
        <w:t>Consentement relatif à la langue utilisée</w:t>
      </w:r>
      <w:r>
        <w:rPr>
          <w:rFonts w:ascii="Arial" w:cs="Arial" w:eastAsia="Arial" w:hAnsi="Arial"/>
          <w:sz w:val="15"/>
          <w:szCs w:val="15"/>
          <w:color w:val="auto"/>
        </w:rPr>
        <w:t>. Les parties reconnaissent avoir exigé la rédaction en anglais de cette convention, ainsi que de tous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documents, avis et procédures judiciaires, exécutés, donnés ou intentés en vertu de, ou liés directement ou indirectement à, la présente convention.</w:t>
      </w:r>
    </w:p>
    <w:p>
      <w:pPr>
        <w:spacing w:after="0" w:line="101" w:lineRule="exact"/>
        <w:rPr>
          <w:sz w:val="20"/>
          <w:szCs w:val="20"/>
          <w:color w:val="auto"/>
        </w:rPr>
      </w:pPr>
    </w:p>
    <w:p>
      <w:pPr>
        <w:ind w:left="580" w:hanging="572"/>
        <w:spacing w:after="0"/>
        <w:tabs>
          <w:tab w:leader="none" w:pos="580" w:val="left"/>
        </w:tabs>
        <w:numPr>
          <w:ilvl w:val="0"/>
          <w:numId w:val="81"/>
        </w:numPr>
        <w:rPr>
          <w:rFonts w:ascii="Arial" w:cs="Arial" w:eastAsia="Arial" w:hAnsi="Arial"/>
          <w:sz w:val="16"/>
          <w:szCs w:val="16"/>
          <w:b w:val="1"/>
          <w:bCs w:val="1"/>
          <w:color w:val="auto"/>
        </w:rPr>
      </w:pPr>
      <w:r>
        <w:rPr>
          <w:rFonts w:ascii="Arial" w:cs="Arial" w:eastAsia="Arial" w:hAnsi="Arial"/>
          <w:sz w:val="16"/>
          <w:szCs w:val="16"/>
          <w:b w:val="1"/>
          <w:bCs w:val="1"/>
          <w:color w:val="auto"/>
        </w:rPr>
        <w:t>TERMINATION OF EMPLOYMENT</w:t>
      </w:r>
    </w:p>
    <w:p>
      <w:pPr>
        <w:spacing w:after="0" w:line="234" w:lineRule="exact"/>
        <w:rPr>
          <w:rFonts w:ascii="Arial" w:cs="Arial" w:eastAsia="Arial" w:hAnsi="Arial"/>
          <w:sz w:val="16"/>
          <w:szCs w:val="16"/>
          <w:b w:val="1"/>
          <w:bCs w:val="1"/>
          <w:color w:val="auto"/>
        </w:rPr>
      </w:pPr>
    </w:p>
    <w:p>
      <w:pPr>
        <w:ind w:left="600"/>
        <w:spacing w:after="0"/>
        <w:rPr>
          <w:rFonts w:ascii="Arial" w:cs="Arial" w:eastAsia="Arial" w:hAnsi="Arial"/>
          <w:sz w:val="16"/>
          <w:szCs w:val="16"/>
          <w:b w:val="1"/>
          <w:bCs w:val="1"/>
          <w:color w:val="auto"/>
        </w:rPr>
      </w:pPr>
      <w:r>
        <w:rPr>
          <w:rFonts w:ascii="Arial" w:cs="Arial" w:eastAsia="Arial" w:hAnsi="Arial"/>
          <w:sz w:val="18"/>
          <w:szCs w:val="18"/>
          <w:color w:val="auto"/>
        </w:rPr>
        <w:t>The following provision replaces Section 6.2 of the Plan:</w:t>
      </w:r>
    </w:p>
    <w:p>
      <w:pPr>
        <w:spacing w:after="0" w:line="225" w:lineRule="exact"/>
        <w:rPr>
          <w:sz w:val="20"/>
          <w:szCs w:val="20"/>
          <w:color w:val="auto"/>
        </w:rPr>
      </w:pPr>
    </w:p>
    <w:p>
      <w:pPr>
        <w:ind w:right="300" w:firstLine="586"/>
        <w:spacing w:after="0" w:line="342" w:lineRule="auto"/>
        <w:rPr>
          <w:sz w:val="20"/>
          <w:szCs w:val="20"/>
          <w:color w:val="auto"/>
        </w:rPr>
      </w:pPr>
      <w:r>
        <w:rPr>
          <w:rFonts w:ascii="Arial" w:cs="Arial" w:eastAsia="Arial" w:hAnsi="Arial"/>
          <w:sz w:val="16"/>
          <w:szCs w:val="16"/>
          <w:color w:val="auto"/>
        </w:rPr>
        <w:t>In the event of termination of an Eligible Employee’s employment, the Eligible Employee’s right to purchase Shares under the Plan, if any, will terminate, and he or she shall be deemed to have elected to withdraw from the Plan, effective as of the Eligible Employee’s Termination Date.</w:t>
      </w:r>
    </w:p>
    <w:p>
      <w:pPr>
        <w:spacing w:after="0" w:line="124" w:lineRule="exact"/>
        <w:rPr>
          <w:sz w:val="20"/>
          <w:szCs w:val="20"/>
          <w:color w:val="auto"/>
        </w:rPr>
      </w:pPr>
    </w:p>
    <w:p>
      <w:pPr>
        <w:ind w:firstLine="58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Termination Date</w:t>
      </w:r>
      <w:r>
        <w:rPr>
          <w:rFonts w:ascii="Arial" w:cs="Arial" w:eastAsia="Arial" w:hAnsi="Arial"/>
          <w:sz w:val="16"/>
          <w:szCs w:val="16"/>
          <w:color w:val="auto"/>
        </w:rPr>
        <w:t>” means in respect of an Eligible Employee whose employment, term or office with a Participating Company terminates for any reason, including by reason of retirement, resignation, death, disability, termination without cause, termination for cause (being the unilateral termination of an Eligible Employee’s employment by a Participating Company for a reason or reasons that are recognized under applicable law as justifying such termination of employment without the requirement to give any notice of the termination of employment to the Eligible Employee or provide pay in lieu of such notice), the last day of the Eligible Employee’s employment or term of office with a Participating Company, which in the event of a termination without cause shall include any statutory period of notice of termination or pay in lieu but shall exclude any additional notice or severance periods or pay in lieu in respect of which the Eligible Employee is in receipt of or may be eligible to receive at common law, pursuant to a contract, or otherwise. For greater certainty, (a) a Termination Date shall be determined without reference to any statutory severance or any contractual or common law notice of termination or pay in lieu that the Participant is entitled to or in receipt of; and (b) in no event will the Eligible Employee receive less than that required by applicable minimum employment standards legislation. The Committee shall have the exclusive discretion to determine when the Eligible Employee is no longer employed for purposes of the Plan in accordance with the Plan documents and applicable law.</w:t>
      </w:r>
    </w:p>
    <w:p>
      <w:pPr>
        <w:spacing w:after="0" w:line="172" w:lineRule="exact"/>
        <w:rPr>
          <w:sz w:val="20"/>
          <w:szCs w:val="20"/>
          <w:color w:val="auto"/>
        </w:rPr>
      </w:pPr>
    </w:p>
    <w:p>
      <w:pPr>
        <w:ind w:right="120" w:firstLine="586"/>
        <w:spacing w:after="0" w:line="286" w:lineRule="auto"/>
        <w:rPr>
          <w:sz w:val="20"/>
          <w:szCs w:val="20"/>
          <w:color w:val="auto"/>
        </w:rPr>
      </w:pPr>
      <w:r>
        <w:rPr>
          <w:rFonts w:ascii="Arial" w:cs="Arial" w:eastAsia="Arial" w:hAnsi="Arial"/>
          <w:sz w:val="17"/>
          <w:szCs w:val="17"/>
          <w:color w:val="auto"/>
        </w:rPr>
        <w:t>The payroll deductions credited to such Eligible Employee’s account during the Offering Period shall be paid to such Eligible Employee or, in the case of his or her death, to the person or persons entitled thereto under Section 6(b) of the Plan, as soon as reasonably practicable and such Eligible Employee’s rights for the Offering Period shall be automatically terminated on the effective date described in the previous paragraph.</w:t>
      </w:r>
    </w:p>
    <w:p>
      <w:pPr>
        <w:spacing w:after="0" w:line="165"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125" w:name="page126"/>
    <w:bookmarkEnd w:id="125"/>
    <w:p>
      <w:pPr>
        <w:ind w:left="580" w:hanging="572"/>
        <w:spacing w:after="0"/>
        <w:tabs>
          <w:tab w:leader="none" w:pos="580" w:val="left"/>
        </w:tabs>
        <w:numPr>
          <w:ilvl w:val="0"/>
          <w:numId w:val="82"/>
        </w:numPr>
        <w:rPr>
          <w:rFonts w:ascii="Arial" w:cs="Arial" w:eastAsia="Arial" w:hAnsi="Arial"/>
          <w:sz w:val="16"/>
          <w:szCs w:val="16"/>
          <w:b w:val="1"/>
          <w:bCs w:val="1"/>
          <w:color w:val="auto"/>
        </w:rPr>
      </w:pPr>
      <w:r>
        <w:rPr>
          <w:rFonts w:ascii="Arial" w:cs="Arial" w:eastAsia="Arial" w:hAnsi="Arial"/>
          <w:sz w:val="16"/>
          <w:szCs w:val="16"/>
          <w:b w:val="1"/>
          <w:bCs w:val="1"/>
          <w:color w:val="auto"/>
        </w:rPr>
        <w:t>APPROVED LEAVES OF ABSENCE</w:t>
      </w:r>
    </w:p>
    <w:p>
      <w:pPr>
        <w:spacing w:after="0" w:line="234" w:lineRule="exact"/>
        <w:rPr>
          <w:sz w:val="20"/>
          <w:szCs w:val="20"/>
          <w:color w:val="auto"/>
        </w:rPr>
      </w:pPr>
    </w:p>
    <w:p>
      <w:pPr>
        <w:ind w:right="20" w:firstLine="586"/>
        <w:spacing w:after="0" w:line="279" w:lineRule="auto"/>
        <w:rPr>
          <w:sz w:val="20"/>
          <w:szCs w:val="20"/>
          <w:color w:val="auto"/>
        </w:rPr>
      </w:pPr>
      <w:r>
        <w:rPr>
          <w:rFonts w:ascii="Arial" w:cs="Arial" w:eastAsia="Arial" w:hAnsi="Arial"/>
          <w:sz w:val="17"/>
          <w:szCs w:val="17"/>
          <w:color w:val="auto"/>
        </w:rPr>
        <w:t>An Eligible Employee who is on an Approved Leave (as defined below) may, by written election, elect to suspend participation in the Plan, or, as applicable: (i) have payroll deductions in respect of the Plan continue; or (ii) where payroll deductions are not possible because the Approved Leave is unpaid, make cash payments to the Company, in the time and manner prescribed by the Company, with such payments to be equal to the amount of payroll deduction in effect in respect of the Plan for the pay period immediately prior to the Approved Leave.</w:t>
      </w:r>
    </w:p>
    <w:p>
      <w:pPr>
        <w:spacing w:after="0" w:line="171" w:lineRule="exact"/>
        <w:rPr>
          <w:sz w:val="20"/>
          <w:szCs w:val="20"/>
          <w:color w:val="auto"/>
        </w:rPr>
      </w:pPr>
    </w:p>
    <w:p>
      <w:pPr>
        <w:ind w:right="40" w:firstLine="58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Approved Leave</w:t>
      </w:r>
      <w:r>
        <w:rPr>
          <w:rFonts w:ascii="Arial" w:cs="Arial" w:eastAsia="Arial" w:hAnsi="Arial"/>
          <w:sz w:val="18"/>
          <w:szCs w:val="18"/>
          <w:color w:val="auto"/>
        </w:rPr>
        <w:t xml:space="preserve">” means: (i) a paid </w:t>
      </w:r>
      <w:r>
        <w:rPr>
          <w:rFonts w:ascii="Arial" w:cs="Arial" w:eastAsia="Arial" w:hAnsi="Arial"/>
          <w:sz w:val="18"/>
          <w:szCs w:val="18"/>
          <w:u w:val="single" w:color="auto"/>
          <w:color w:val="auto"/>
        </w:rPr>
        <w:t>leave</w:t>
      </w:r>
      <w:r>
        <w:rPr>
          <w:rFonts w:ascii="Arial" w:cs="Arial" w:eastAsia="Arial" w:hAnsi="Arial"/>
          <w:sz w:val="18"/>
          <w:szCs w:val="18"/>
          <w:color w:val="auto"/>
        </w:rPr>
        <w:t xml:space="preserve"> of absence, approved by a Participating Company and paid through a Participating Company’s payroll, including, for greater certainty, a leave during which the Eligible Employee is in receipt of short-term disability benefits; or (ii) an unpaid leave of absence taken in accordance with applicable employment standards legislation during which the applicable legislation requires that the Eligible Employee be permitted to elect to continue participation in the Plan during the leave.</w:t>
      </w:r>
    </w:p>
    <w:p>
      <w:pPr>
        <w:spacing w:after="0" w:line="187" w:lineRule="exact"/>
        <w:rPr>
          <w:sz w:val="20"/>
          <w:szCs w:val="20"/>
          <w:color w:val="auto"/>
        </w:rPr>
      </w:pPr>
    </w:p>
    <w:p>
      <w:pPr>
        <w:ind w:right="20" w:firstLine="586"/>
        <w:spacing w:after="0" w:line="259" w:lineRule="auto"/>
        <w:rPr>
          <w:sz w:val="20"/>
          <w:szCs w:val="20"/>
          <w:color w:val="auto"/>
        </w:rPr>
      </w:pPr>
      <w:r>
        <w:rPr>
          <w:rFonts w:ascii="Arial" w:cs="Arial" w:eastAsia="Arial" w:hAnsi="Arial"/>
          <w:sz w:val="18"/>
          <w:szCs w:val="18"/>
          <w:color w:val="auto"/>
        </w:rPr>
        <w:t>For greater certainty, a leave during which the Eligible Employee is in receipt of long-term disability benefits will not be considered an “Approved Leave.” To the extent a full Offering Period lapses without an Eligible Employee actively contributing to the Plan for such Offering Period, such Eligible Employee shall be considered to have reached his or her Termination Date, for purposes of the Plan, as of the last day of such Offering Period in accordance with Section 3 above.</w:t>
      </w:r>
    </w:p>
    <w:p>
      <w:pPr>
        <w:spacing w:after="0" w:line="187" w:lineRule="exact"/>
        <w:rPr>
          <w:sz w:val="20"/>
          <w:szCs w:val="20"/>
          <w:color w:val="auto"/>
        </w:rPr>
      </w:pPr>
    </w:p>
    <w:p>
      <w:pPr>
        <w:ind w:left="580" w:hanging="572"/>
        <w:spacing w:after="0"/>
        <w:tabs>
          <w:tab w:leader="none" w:pos="580" w:val="left"/>
        </w:tabs>
        <w:numPr>
          <w:ilvl w:val="0"/>
          <w:numId w:val="83"/>
        </w:numPr>
        <w:rPr>
          <w:rFonts w:ascii="Arial" w:cs="Arial" w:eastAsia="Arial" w:hAnsi="Arial"/>
          <w:sz w:val="16"/>
          <w:szCs w:val="16"/>
          <w:b w:val="1"/>
          <w:bCs w:val="1"/>
          <w:color w:val="auto"/>
        </w:rPr>
      </w:pPr>
      <w:r>
        <w:rPr>
          <w:rFonts w:ascii="Arial" w:cs="Arial" w:eastAsia="Arial" w:hAnsi="Arial"/>
          <w:sz w:val="16"/>
          <w:szCs w:val="16"/>
          <w:b w:val="1"/>
          <w:bCs w:val="1"/>
          <w:color w:val="auto"/>
        </w:rPr>
        <w:t>DATA PROTECTION</w:t>
      </w:r>
    </w:p>
    <w:p>
      <w:pPr>
        <w:spacing w:after="0" w:line="234" w:lineRule="exact"/>
        <w:rPr>
          <w:sz w:val="20"/>
          <w:szCs w:val="20"/>
          <w:color w:val="auto"/>
        </w:rPr>
      </w:pPr>
    </w:p>
    <w:p>
      <w:pPr>
        <w:ind w:right="40" w:firstLine="586"/>
        <w:spacing w:after="0" w:line="342" w:lineRule="auto"/>
        <w:rPr>
          <w:sz w:val="20"/>
          <w:szCs w:val="20"/>
          <w:color w:val="auto"/>
        </w:rPr>
      </w:pPr>
      <w:r>
        <w:rPr>
          <w:rFonts w:ascii="Arial" w:cs="Arial" w:eastAsia="Arial" w:hAnsi="Arial"/>
          <w:sz w:val="16"/>
          <w:szCs w:val="16"/>
          <w:color w:val="auto"/>
        </w:rPr>
        <w:t>The Company collects and processes various types of information that is used to administer or support the Plan. “</w:t>
      </w:r>
      <w:r>
        <w:rPr>
          <w:rFonts w:ascii="Arial" w:cs="Arial" w:eastAsia="Arial" w:hAnsi="Arial"/>
          <w:sz w:val="16"/>
          <w:szCs w:val="16"/>
          <w:b w:val="1"/>
          <w:bCs w:val="1"/>
          <w:i w:val="1"/>
          <w:iCs w:val="1"/>
          <w:color w:val="auto"/>
        </w:rPr>
        <w:t>Personal Information</w:t>
      </w:r>
      <w:r>
        <w:rPr>
          <w:rFonts w:ascii="Arial" w:cs="Arial" w:eastAsia="Arial" w:hAnsi="Arial"/>
          <w:sz w:val="16"/>
          <w:szCs w:val="16"/>
          <w:color w:val="auto"/>
        </w:rPr>
        <w:t>” means information that can be used to identify or authenticate an individual but does not include business contact information and publicly available information.</w:t>
      </w:r>
    </w:p>
    <w:p>
      <w:pPr>
        <w:spacing w:after="0" w:line="124" w:lineRule="exact"/>
        <w:rPr>
          <w:sz w:val="20"/>
          <w:szCs w:val="20"/>
          <w:color w:val="auto"/>
        </w:rPr>
      </w:pPr>
    </w:p>
    <w:p>
      <w:pPr>
        <w:ind w:right="20" w:firstLine="586"/>
        <w:spacing w:after="0" w:line="291" w:lineRule="auto"/>
        <w:rPr>
          <w:sz w:val="20"/>
          <w:szCs w:val="20"/>
          <w:color w:val="auto"/>
        </w:rPr>
      </w:pPr>
      <w:r>
        <w:rPr>
          <w:rFonts w:ascii="Arial" w:cs="Arial" w:eastAsia="Arial" w:hAnsi="Arial"/>
          <w:sz w:val="16"/>
          <w:szCs w:val="16"/>
          <w:color w:val="auto"/>
        </w:rPr>
        <w:t>In addition to the global provisions of the Sub-Plan, each Eligible Employee hereby authorizes the Company and the Company’s representatives to discuss with and obtain all relevant Personal Information from all personnel, professional or not, involved in the administration and operation of the Plan, where necessary or inadvertent, including personal biographical information (including an Eligible Employee’s name, address, gender and date of birth), tax reporting information (including a Social Insurance Number and citizenship information), as well as contact information. Each Eligible Employee further authorizes the Company Group and the Committee to disclose and discuss the Plan with their advisors, to the extent reasonably necessary to administer the Plan, including in relation to audits and communication of the Plan. Each Eligible Employee further authorizes the Company Group and the Committee to record Personal Information and Plan information, and to keep such information in the Eligible Employee’s employee file.</w:t>
      </w:r>
    </w:p>
    <w:p>
      <w:pPr>
        <w:spacing w:after="0" w:line="166" w:lineRule="exact"/>
        <w:rPr>
          <w:sz w:val="20"/>
          <w:szCs w:val="20"/>
          <w:color w:val="auto"/>
        </w:rPr>
      </w:pPr>
    </w:p>
    <w:p>
      <w:pPr>
        <w:ind w:right="120" w:firstLine="586"/>
        <w:spacing w:after="0" w:line="263" w:lineRule="auto"/>
        <w:rPr>
          <w:sz w:val="20"/>
          <w:szCs w:val="20"/>
          <w:color w:val="auto"/>
        </w:rPr>
      </w:pPr>
      <w:r>
        <w:rPr>
          <w:rFonts w:ascii="Arial" w:cs="Arial" w:eastAsia="Arial" w:hAnsi="Arial"/>
          <w:sz w:val="18"/>
          <w:szCs w:val="18"/>
          <w:color w:val="auto"/>
        </w:rPr>
        <w:t>The Company affirms its commitment to ensure that all Personal Information of Eligible Employees collected, maintained and used, is kept confidential and used only for the purposes for which it is intended, and assumes responsibility for safeguarding such Personal Information in accordance with the Plan requirements and all applicable laws.</w:t>
      </w:r>
    </w:p>
    <w:p>
      <w:pPr>
        <w:spacing w:after="0" w:line="184" w:lineRule="exact"/>
        <w:rPr>
          <w:sz w:val="20"/>
          <w:szCs w:val="20"/>
          <w:color w:val="auto"/>
        </w:rPr>
      </w:pPr>
    </w:p>
    <w:p>
      <w:pPr>
        <w:ind w:right="20" w:firstLine="586"/>
        <w:spacing w:after="0" w:line="263" w:lineRule="auto"/>
        <w:rPr>
          <w:sz w:val="20"/>
          <w:szCs w:val="20"/>
          <w:color w:val="auto"/>
        </w:rPr>
      </w:pPr>
      <w:r>
        <w:rPr>
          <w:rFonts w:ascii="Arial" w:cs="Arial" w:eastAsia="Arial" w:hAnsi="Arial"/>
          <w:sz w:val="18"/>
          <w:szCs w:val="18"/>
          <w:color w:val="auto"/>
        </w:rPr>
        <w:t>In the event of a security breach, the Company will take reasonable steps to comply with all applicable breach notification processes in accordance with applicable law. A security breach occurs when the security or confidentiality of Personal Information is comprised, and includes the unauthorized collection, use, or disclosure of Personal Information.</w:t>
      </w:r>
    </w:p>
    <w:p>
      <w:pPr>
        <w:spacing w:after="0" w:line="184" w:lineRule="exact"/>
        <w:rPr>
          <w:sz w:val="20"/>
          <w:szCs w:val="20"/>
          <w:color w:val="auto"/>
        </w:rPr>
      </w:pPr>
    </w:p>
    <w:p>
      <w:pPr>
        <w:ind w:right="80" w:firstLine="586"/>
        <w:spacing w:after="0" w:line="291" w:lineRule="auto"/>
        <w:rPr>
          <w:sz w:val="20"/>
          <w:szCs w:val="20"/>
          <w:color w:val="auto"/>
        </w:rPr>
      </w:pPr>
      <w:r>
        <w:rPr>
          <w:rFonts w:ascii="Arial" w:cs="Arial" w:eastAsia="Arial" w:hAnsi="Arial"/>
          <w:sz w:val="16"/>
          <w:szCs w:val="16"/>
          <w:color w:val="auto"/>
        </w:rPr>
        <w:t>The measures that the Company will undertake to safeguard the security of Personal Information collected include, but are not necessarily limited to, taking the following steps commensurate with industry standards, as applicable: (i) limiting employee and contractor access to Personal Information;</w:t>
      </w:r>
    </w:p>
    <w:p>
      <w:pPr>
        <w:ind w:firstLine="8"/>
        <w:spacing w:after="0" w:line="302" w:lineRule="auto"/>
        <w:tabs>
          <w:tab w:leader="none" w:pos="265" w:val="left"/>
        </w:tabs>
        <w:numPr>
          <w:ilvl w:val="0"/>
          <w:numId w:val="84"/>
        </w:numPr>
        <w:rPr>
          <w:rFonts w:ascii="Arial" w:cs="Arial" w:eastAsia="Arial" w:hAnsi="Arial"/>
          <w:sz w:val="16"/>
          <w:szCs w:val="16"/>
          <w:color w:val="auto"/>
        </w:rPr>
      </w:pPr>
      <w:r>
        <w:rPr>
          <w:rFonts w:ascii="Arial" w:cs="Arial" w:eastAsia="Arial" w:hAnsi="Arial"/>
          <w:sz w:val="16"/>
          <w:szCs w:val="16"/>
          <w:color w:val="auto"/>
        </w:rPr>
        <w:t>securing business facilities, data centers, paper files, services back-up systems and computing equipment; (iii) implementing network, device, database, and platform security in accordance with industry standards; (iv) securing information transmission, storage and disposal; (v) implementing appropriate personnel security and integrity procedures sand practices; and (vi) providing appropriate privacy and information security training to employees.</w:t>
      </w:r>
    </w:p>
    <w:p>
      <w:pPr>
        <w:spacing w:after="0" w:line="155"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58" w:right="399" w:bottom="1440" w:gutter="0" w:footer="0" w:header="0"/>
        </w:sectPr>
      </w:pPr>
    </w:p>
    <w:bookmarkStart w:id="126" w:name="page127"/>
    <w:bookmarkEnd w:id="126"/>
    <w:p>
      <w:pPr>
        <w:ind w:right="520"/>
        <w:spacing w:after="0" w:line="286" w:lineRule="auto"/>
        <w:rPr>
          <w:sz w:val="20"/>
          <w:szCs w:val="20"/>
          <w:color w:val="auto"/>
        </w:rPr>
      </w:pPr>
      <w:r>
        <w:rPr>
          <w:rFonts w:ascii="Arial" w:cs="Arial" w:eastAsia="Arial" w:hAnsi="Arial"/>
          <w:sz w:val="17"/>
          <w:szCs w:val="17"/>
          <w:color w:val="auto"/>
        </w:rPr>
        <w:t>The administration of the Plan might entail storage of Personal Information outside of Canada, including in the following countries: United States of America. Eligible Employees will be clearly informed of such storage outside Canada and any changes thereto, and be provided with the contact information of an individual who can answer questions regarding the collection and use of Personal Information.</w:t>
      </w:r>
    </w:p>
    <w:p>
      <w:pPr>
        <w:spacing w:after="0" w:line="166" w:lineRule="exact"/>
        <w:rPr>
          <w:sz w:val="20"/>
          <w:szCs w:val="20"/>
          <w:color w:val="auto"/>
        </w:rPr>
      </w:pPr>
    </w:p>
    <w:p>
      <w:pPr>
        <w:ind w:left="580" w:hanging="572"/>
        <w:spacing w:after="0"/>
        <w:tabs>
          <w:tab w:leader="none" w:pos="580" w:val="left"/>
        </w:tabs>
        <w:numPr>
          <w:ilvl w:val="0"/>
          <w:numId w:val="85"/>
        </w:numPr>
        <w:rPr>
          <w:rFonts w:ascii="Arial" w:cs="Arial" w:eastAsia="Arial" w:hAnsi="Arial"/>
          <w:sz w:val="16"/>
          <w:szCs w:val="16"/>
          <w:b w:val="1"/>
          <w:bCs w:val="1"/>
          <w:color w:val="auto"/>
        </w:rPr>
      </w:pPr>
      <w:r>
        <w:rPr>
          <w:rFonts w:ascii="Arial" w:cs="Arial" w:eastAsia="Arial" w:hAnsi="Arial"/>
          <w:sz w:val="16"/>
          <w:szCs w:val="16"/>
          <w:b w:val="1"/>
          <w:bCs w:val="1"/>
          <w:color w:val="auto"/>
        </w:rPr>
        <w:t>NOTIFICATIONS</w:t>
      </w:r>
    </w:p>
    <w:p>
      <w:pPr>
        <w:spacing w:after="0" w:line="234" w:lineRule="exact"/>
        <w:rPr>
          <w:rFonts w:ascii="Arial" w:cs="Arial" w:eastAsia="Arial" w:hAnsi="Arial"/>
          <w:sz w:val="16"/>
          <w:szCs w:val="16"/>
          <w:b w:val="1"/>
          <w:bCs w:val="1"/>
          <w:color w:val="auto"/>
        </w:rPr>
      </w:pPr>
    </w:p>
    <w:p>
      <w:pPr>
        <w:jc w:val="both"/>
        <w:ind w:firstLine="594"/>
        <w:spacing w:after="0" w:line="263" w:lineRule="auto"/>
        <w:tabs>
          <w:tab w:leader="none" w:pos="831" w:val="left"/>
        </w:tabs>
        <w:numPr>
          <w:ilvl w:val="1"/>
          <w:numId w:val="85"/>
        </w:numPr>
        <w:rPr>
          <w:rFonts w:ascii="Arial" w:cs="Arial" w:eastAsia="Arial" w:hAnsi="Arial"/>
          <w:sz w:val="18"/>
          <w:szCs w:val="18"/>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Each Eligible Employee understands that the Eligible Employee is permitted to sell Shares acquired pursuant to the Plan through the designated broker appointed under the Plan, if any, provided the sale of Shares acquired pursuant to the Plan takes place outside of Canada through the facilities of a stock exchange on which the Shares are listed.</w:t>
      </w:r>
    </w:p>
    <w:p>
      <w:pPr>
        <w:spacing w:after="0" w:line="183" w:lineRule="exact"/>
        <w:rPr>
          <w:rFonts w:ascii="Arial" w:cs="Arial" w:eastAsia="Arial" w:hAnsi="Arial"/>
          <w:sz w:val="18"/>
          <w:szCs w:val="18"/>
          <w:color w:val="auto"/>
        </w:rPr>
      </w:pPr>
    </w:p>
    <w:p>
      <w:pPr>
        <w:ind w:right="100" w:firstLine="594"/>
        <w:spacing w:after="0" w:line="293" w:lineRule="auto"/>
        <w:tabs>
          <w:tab w:leader="none" w:pos="841" w:val="left"/>
        </w:tabs>
        <w:numPr>
          <w:ilvl w:val="1"/>
          <w:numId w:val="85"/>
        </w:numPr>
        <w:rPr>
          <w:rFonts w:ascii="Arial" w:cs="Arial" w:eastAsia="Arial" w:hAnsi="Arial"/>
          <w:sz w:val="16"/>
          <w:szCs w:val="16"/>
          <w:color w:val="auto"/>
        </w:rPr>
      </w:pPr>
      <w:r>
        <w:rPr>
          <w:rFonts w:ascii="Arial" w:cs="Arial" w:eastAsia="Arial" w:hAnsi="Arial"/>
          <w:sz w:val="16"/>
          <w:szCs w:val="16"/>
          <w:u w:val="single" w:color="auto"/>
          <w:color w:val="auto"/>
        </w:rPr>
        <w:t>Foreign Asset/Account Reporting Information</w:t>
      </w:r>
      <w:r>
        <w:rPr>
          <w:rFonts w:ascii="Arial" w:cs="Arial" w:eastAsia="Arial" w:hAnsi="Arial"/>
          <w:sz w:val="16"/>
          <w:szCs w:val="16"/>
          <w:color w:val="auto"/>
        </w:rPr>
        <w:t>. If a Participant is a Canadian resident, such Participant may be required to report his or her foreign property on form T1135 (Foreign Income Verification Statement) if the total cost of the foreign property exceeds a certain threshold at any time in the year. Foreign property includes Shares acquired under the Plan. The Shares must be reported, generally at a nil cost, if the cost threshold is exceeded because of other foreign property the Participant holds. If Shares are acquired, their cost generally is the adjusted cost base (“</w:t>
      </w:r>
      <w:r>
        <w:rPr>
          <w:rFonts w:ascii="Arial" w:cs="Arial" w:eastAsia="Arial" w:hAnsi="Arial"/>
          <w:sz w:val="16"/>
          <w:szCs w:val="16"/>
          <w:b w:val="1"/>
          <w:bCs w:val="1"/>
          <w:i w:val="1"/>
          <w:iCs w:val="1"/>
          <w:color w:val="auto"/>
        </w:rPr>
        <w:t>ACB</w:t>
      </w:r>
      <w:r>
        <w:rPr>
          <w:rFonts w:ascii="Arial" w:cs="Arial" w:eastAsia="Arial" w:hAnsi="Arial"/>
          <w:sz w:val="16"/>
          <w:szCs w:val="16"/>
          <w:color w:val="auto"/>
        </w:rPr>
        <w:t>”) of the Shares. The ACB ordinarily would equal the fair market value of the Shares at the time of acquisition, but if a Participant owns other Shares, this ACB may have to be leveraged with the ACB of the other Shares. The form T1135 generally must be filed by April 30 of the following year.</w:t>
      </w:r>
    </w:p>
    <w:p>
      <w:pPr>
        <w:spacing w:after="0" w:line="164" w:lineRule="exact"/>
        <w:rPr>
          <w:sz w:val="20"/>
          <w:szCs w:val="20"/>
          <w:color w:val="auto"/>
        </w:rPr>
      </w:pPr>
    </w:p>
    <w:p>
      <w:pPr>
        <w:ind w:right="160" w:firstLine="586"/>
        <w:spacing w:after="0" w:line="263" w:lineRule="auto"/>
        <w:rPr>
          <w:sz w:val="20"/>
          <w:szCs w:val="20"/>
          <w:color w:val="auto"/>
        </w:rPr>
      </w:pPr>
      <w:r>
        <w:rPr>
          <w:rFonts w:ascii="Arial" w:cs="Arial" w:eastAsia="Arial" w:hAnsi="Arial"/>
          <w:sz w:val="18"/>
          <w:szCs w:val="18"/>
          <w:color w:val="auto"/>
        </w:rPr>
        <w:t>A Participant should note that this information is provided as a summary of applicable requirements and does not constitute tax advice. The tax consequences and tax reporting requirements related to participation in the Plan are subject to change. A Participant should further consult with his or her personal advisor to ensure compliance with the applicable reporting requirements.</w:t>
      </w:r>
    </w:p>
    <w:p>
      <w:pPr>
        <w:spacing w:after="0" w:line="184" w:lineRule="exact"/>
        <w:rPr>
          <w:sz w:val="20"/>
          <w:szCs w:val="20"/>
          <w:color w:val="auto"/>
        </w:rPr>
      </w:pPr>
    </w:p>
    <w:p>
      <w:pPr>
        <w:ind w:left="580" w:hanging="572"/>
        <w:spacing w:after="0"/>
        <w:tabs>
          <w:tab w:leader="none" w:pos="580" w:val="left"/>
        </w:tabs>
        <w:numPr>
          <w:ilvl w:val="0"/>
          <w:numId w:val="86"/>
        </w:numPr>
        <w:rPr>
          <w:rFonts w:ascii="Arial" w:cs="Arial" w:eastAsia="Arial" w:hAnsi="Arial"/>
          <w:sz w:val="16"/>
          <w:szCs w:val="16"/>
          <w:b w:val="1"/>
          <w:bCs w:val="1"/>
          <w:color w:val="auto"/>
        </w:rPr>
      </w:pPr>
      <w:r>
        <w:rPr>
          <w:rFonts w:ascii="Arial" w:cs="Arial" w:eastAsia="Arial" w:hAnsi="Arial"/>
          <w:sz w:val="16"/>
          <w:szCs w:val="16"/>
          <w:b w:val="1"/>
          <w:bCs w:val="1"/>
          <w:color w:val="auto"/>
        </w:rPr>
        <w:t>TAX CONSEQUENCES</w:t>
      </w:r>
    </w:p>
    <w:p>
      <w:pPr>
        <w:spacing w:after="0" w:line="23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provision supplements Section 7.11 of the Plan:</w:t>
      </w:r>
    </w:p>
    <w:p>
      <w:pPr>
        <w:spacing w:after="0" w:line="22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Regardless of any action the Company or the Employer takes with respect to satisfying its obligations to withhold any or all statutorily prescribed amounts, including income tax (including foreign, federal, provincial, and local tax), Canada Pension Plan (“</w:t>
      </w:r>
      <w:r>
        <w:rPr>
          <w:rFonts w:ascii="Arial" w:cs="Arial" w:eastAsia="Arial" w:hAnsi="Arial"/>
          <w:sz w:val="16"/>
          <w:szCs w:val="16"/>
          <w:b w:val="1"/>
          <w:bCs w:val="1"/>
          <w:i w:val="1"/>
          <w:iCs w:val="1"/>
          <w:color w:val="auto"/>
        </w:rPr>
        <w:t>CPP</w:t>
      </w:r>
      <w:r>
        <w:rPr>
          <w:rFonts w:ascii="Arial" w:cs="Arial" w:eastAsia="Arial" w:hAnsi="Arial"/>
          <w:sz w:val="16"/>
          <w:szCs w:val="16"/>
          <w:color w:val="auto"/>
        </w:rPr>
        <w:t>”) contributions, any payroll tax, payment on account, or other items or amounts related to a Participant’s participation in the Plan and legally applicable to a Participant (“</w:t>
      </w:r>
      <w:r>
        <w:rPr>
          <w:rFonts w:ascii="Arial" w:cs="Arial" w:eastAsia="Arial" w:hAnsi="Arial"/>
          <w:sz w:val="16"/>
          <w:szCs w:val="16"/>
          <w:b w:val="1"/>
          <w:bCs w:val="1"/>
          <w:i w:val="1"/>
          <w:iCs w:val="1"/>
          <w:color w:val="auto"/>
        </w:rPr>
        <w:t>Withholding Taxes</w:t>
      </w:r>
      <w:r>
        <w:rPr>
          <w:rFonts w:ascii="Arial" w:cs="Arial" w:eastAsia="Arial" w:hAnsi="Arial"/>
          <w:sz w:val="16"/>
          <w:szCs w:val="16"/>
          <w:color w:val="auto"/>
        </w:rPr>
        <w:t>”), the ultimate liability for all Withholding Taxes legally due by a Participant is and remains such Participant’s responsibility and may exceed the amount actually withheld by the Company and/or the Employer. Neither the Company and/or the Employer (i) make any representations or undertakings regarding the treatment of any Withholding Taxes in connection with any aspect of rights under the Plan, including but not limited to, the grant, vesting, exercise of the right, the issuance of Shares upon exercise, the subsequent sale of Shares acquired pursuant to the exercise of the right and the receipt of any dividends, and</w:t>
      </w:r>
    </w:p>
    <w:p>
      <w:pPr>
        <w:spacing w:after="0" w:line="2" w:lineRule="exact"/>
        <w:rPr>
          <w:sz w:val="20"/>
          <w:szCs w:val="20"/>
          <w:color w:val="auto"/>
        </w:rPr>
      </w:pPr>
    </w:p>
    <w:p>
      <w:pPr>
        <w:ind w:firstLine="8"/>
        <w:spacing w:after="0" w:line="267" w:lineRule="auto"/>
        <w:tabs>
          <w:tab w:leader="none" w:pos="265" w:val="left"/>
        </w:tabs>
        <w:numPr>
          <w:ilvl w:val="0"/>
          <w:numId w:val="87"/>
        </w:numPr>
        <w:rPr>
          <w:rFonts w:ascii="Arial" w:cs="Arial" w:eastAsia="Arial" w:hAnsi="Arial"/>
          <w:sz w:val="17"/>
          <w:szCs w:val="17"/>
          <w:color w:val="auto"/>
        </w:rPr>
      </w:pPr>
      <w:r>
        <w:rPr>
          <w:rFonts w:ascii="Arial" w:cs="Arial" w:eastAsia="Arial" w:hAnsi="Arial"/>
          <w:sz w:val="17"/>
          <w:szCs w:val="17"/>
          <w:color w:val="auto"/>
        </w:rPr>
        <w:t>do not commit to and are under no obligation to structure the terms of the grant or any aspect of the rights under the Plan to reduce or eliminate a Participant’s liability for Withholding Taxes or achieve any particular tax result. Further, if a Participant has become subject to tax in more than one jurisdiction, the Company and/or the Employer (or former employer, as applicable) may be required to withhold or account for Withholding Taxes in more than one jurisdiction. Prior to any relevant taxable or tax withholding event (“</w:t>
      </w:r>
      <w:r>
        <w:rPr>
          <w:rFonts w:ascii="Arial" w:cs="Arial" w:eastAsia="Arial" w:hAnsi="Arial"/>
          <w:sz w:val="17"/>
          <w:szCs w:val="17"/>
          <w:b w:val="1"/>
          <w:bCs w:val="1"/>
          <w:i w:val="1"/>
          <w:iCs w:val="1"/>
          <w:color w:val="auto"/>
        </w:rPr>
        <w:t>Tax Date</w:t>
      </w:r>
      <w:r>
        <w:rPr>
          <w:rFonts w:ascii="Arial" w:cs="Arial" w:eastAsia="Arial" w:hAnsi="Arial"/>
          <w:sz w:val="17"/>
          <w:szCs w:val="17"/>
          <w:color w:val="auto"/>
        </w:rPr>
        <w:t>”), as applicable, a Participant will pay or make adequate arrangements satisfactory to the Company and/or the Employer to satisfy all Withholding Taxes. In this regard, the Company and/or the Employer or their respective agents are authorized, at their discretion, to satisfy the obligations with regard to all Withholding Taxes by one or a combination of the following: (A) accept a cash payment in USD in the amount of Withholding Taxes, (B) withhold whole Shares which would otherwise be delivered to a Participant having an aggregate fair market value, determined as of the Tax Date, or withhold an amount of cash from the Participant’s wages or other cash compensation which would otherwise be payable to the Participant by the Company and/or the Employer, equal to the amount necessary to satisfy any such obligations, (C) withhold from proceeds of the sale of Shares acquired upon exercise of the right either through a voluntary sale or through a mandatory sale arranged by the Company (on the Participant’s behalf pursuant to this authorization), or (D) a cash payment to the Company by a broker-dealer acceptable to the Company to whom a Participant has submitted an irrevocable notice of exercise. To avoid negative accounting treatment, the Company may withhold or account for</w:t>
      </w:r>
    </w:p>
    <w:p>
      <w:pPr>
        <w:spacing w:after="0" w:line="183"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27" w:name="page128"/>
    <w:bookmarkEnd w:id="127"/>
    <w:p>
      <w:pPr>
        <w:spacing w:after="0" w:line="271" w:lineRule="auto"/>
        <w:rPr>
          <w:sz w:val="20"/>
          <w:szCs w:val="20"/>
          <w:color w:val="auto"/>
        </w:rPr>
      </w:pPr>
      <w:r>
        <w:rPr>
          <w:rFonts w:ascii="Arial" w:cs="Arial" w:eastAsia="Arial" w:hAnsi="Arial"/>
          <w:sz w:val="17"/>
          <w:szCs w:val="17"/>
          <w:color w:val="auto"/>
        </w:rPr>
        <w:t>Withholding Taxes by considering applicable minimum statutory withholding rates. If the obligation for Withholding Taxes is satisfied by withholding in Shares, for tax purposes, a Participant is deemed to have been issued the full number of Shares subject to the right, notwithstanding that a number of Shares are held back solely for the purpose of paying the Withholding Taxes. Finally, a Participant shall pay to the Company or the Employer any amount of Withholding Taxes that the Company or the Employer may be required to withhold as a result of the Participant’s participation in the Plan that cannot be satisfied by the means previously described. The Company shall have sole discretion to deliver the Shares if a Participant fails to comply with such Participant’s obligations in connection with the Withholding Taxes as described in this section and each Participant unconditionally consents to and approves any such action taken by the Company. A Participant (or any beneficiary or person entitled to act on a Participant’s behalf) shall provide the Company with any forms, documents or other information reasonably required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28" w:name="page129"/>
    <w:bookmarkEnd w:id="128"/>
    <w:p>
      <w:pPr>
        <w:jc w:val="center"/>
        <w:ind w:right="-59"/>
        <w:spacing w:after="0"/>
        <w:rPr>
          <w:sz w:val="20"/>
          <w:szCs w:val="20"/>
          <w:color w:val="auto"/>
        </w:rPr>
      </w:pPr>
      <w:r>
        <w:rPr>
          <w:rFonts w:ascii="Arial" w:cs="Arial" w:eastAsia="Arial" w:hAnsi="Arial"/>
          <w:sz w:val="18"/>
          <w:szCs w:val="18"/>
          <w:b w:val="1"/>
          <w:bCs w:val="1"/>
          <w:color w:val="auto"/>
        </w:rPr>
        <w:t>CORSAIR GAMING,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2020 EMPLOYEE STOCK PURCHASE PLAN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SUB-PLAN FOR</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INTERNATIONAL PARTICIPANTS</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FRANCE</w:t>
      </w:r>
    </w:p>
    <w:p>
      <w:pPr>
        <w:spacing w:after="0" w:line="230" w:lineRule="exact"/>
        <w:rPr>
          <w:sz w:val="20"/>
          <w:szCs w:val="20"/>
          <w:color w:val="auto"/>
        </w:rPr>
      </w:pPr>
    </w:p>
    <w:p>
      <w:pPr>
        <w:ind w:left="580" w:hanging="572"/>
        <w:spacing w:after="0"/>
        <w:tabs>
          <w:tab w:leader="none" w:pos="580" w:val="left"/>
        </w:tabs>
        <w:numPr>
          <w:ilvl w:val="0"/>
          <w:numId w:val="88"/>
        </w:numPr>
        <w:rPr>
          <w:rFonts w:ascii="Arial" w:cs="Arial" w:eastAsia="Arial" w:hAnsi="Arial"/>
          <w:sz w:val="16"/>
          <w:szCs w:val="16"/>
          <w:b w:val="1"/>
          <w:bCs w:val="1"/>
          <w:color w:val="auto"/>
        </w:rPr>
      </w:pPr>
      <w:r>
        <w:rPr>
          <w:rFonts w:ascii="Arial" w:cs="Arial" w:eastAsia="Arial" w:hAnsi="Arial"/>
          <w:sz w:val="16"/>
          <w:szCs w:val="16"/>
          <w:b w:val="1"/>
          <w:bCs w:val="1"/>
          <w:color w:val="auto"/>
        </w:rPr>
        <w:t>APPLICATION</w:t>
      </w:r>
    </w:p>
    <w:p>
      <w:pPr>
        <w:spacing w:after="0" w:line="234" w:lineRule="exact"/>
        <w:rPr>
          <w:sz w:val="20"/>
          <w:szCs w:val="20"/>
          <w:color w:val="auto"/>
        </w:rPr>
      </w:pPr>
    </w:p>
    <w:p>
      <w:pPr>
        <w:ind w:firstLine="586"/>
        <w:spacing w:after="0" w:line="259" w:lineRule="auto"/>
        <w:rPr>
          <w:sz w:val="20"/>
          <w:szCs w:val="20"/>
          <w:color w:val="auto"/>
        </w:rPr>
      </w:pPr>
      <w:r>
        <w:rPr>
          <w:rFonts w:ascii="Arial" w:cs="Arial" w:eastAsia="Arial" w:hAnsi="Arial"/>
          <w:sz w:val="18"/>
          <w:szCs w:val="18"/>
          <w:color w:val="auto"/>
        </w:rPr>
        <w:t xml:space="preserve">This section sets forth additional terms and conditions applicable to the rights granted to, and the Shares purchased by, Eligible Employees who are (or are deemed to be) resident in France for the purpose of payment of taxes or who exercise all of their employment duties in France and forms an integral part of the Plan and Sub-Plan. </w:t>
      </w:r>
      <w:r>
        <w:rPr>
          <w:rFonts w:ascii="Arial" w:cs="Arial" w:eastAsia="Arial" w:hAnsi="Arial"/>
          <w:sz w:val="18"/>
          <w:szCs w:val="18"/>
          <w:b w:val="1"/>
          <w:bCs w:val="1"/>
          <w:color w:val="auto"/>
        </w:rPr>
        <w:t>Eligible Employees in France are advised that part-time and temporary Employees may be excluded from</w:t>
      </w:r>
      <w:r>
        <w:rPr>
          <w:rFonts w:ascii="Arial" w:cs="Arial" w:eastAsia="Arial" w:hAnsi="Arial"/>
          <w:sz w:val="18"/>
          <w:szCs w:val="18"/>
          <w:color w:val="auto"/>
        </w:rPr>
        <w:t xml:space="preserve"> </w:t>
      </w:r>
      <w:r>
        <w:rPr>
          <w:rFonts w:ascii="Arial" w:cs="Arial" w:eastAsia="Arial" w:hAnsi="Arial"/>
          <w:sz w:val="18"/>
          <w:szCs w:val="18"/>
          <w:b w:val="1"/>
          <w:bCs w:val="1"/>
          <w:color w:val="auto"/>
        </w:rPr>
        <w:t>participation in the Plan.</w:t>
      </w:r>
    </w:p>
    <w:p>
      <w:pPr>
        <w:spacing w:after="0" w:line="187" w:lineRule="exact"/>
        <w:rPr>
          <w:sz w:val="20"/>
          <w:szCs w:val="20"/>
          <w:color w:val="auto"/>
        </w:rPr>
      </w:pPr>
    </w:p>
    <w:p>
      <w:pPr>
        <w:ind w:left="580" w:hanging="572"/>
        <w:spacing w:after="0"/>
        <w:tabs>
          <w:tab w:leader="none" w:pos="580" w:val="left"/>
        </w:tabs>
        <w:numPr>
          <w:ilvl w:val="0"/>
          <w:numId w:val="89"/>
        </w:numPr>
        <w:rPr>
          <w:rFonts w:ascii="Arial" w:cs="Arial" w:eastAsia="Arial" w:hAnsi="Arial"/>
          <w:sz w:val="16"/>
          <w:szCs w:val="16"/>
          <w:b w:val="1"/>
          <w:bCs w:val="1"/>
          <w:color w:val="auto"/>
        </w:rPr>
      </w:pPr>
      <w:r>
        <w:rPr>
          <w:rFonts w:ascii="Arial" w:cs="Arial" w:eastAsia="Arial" w:hAnsi="Arial"/>
          <w:sz w:val="16"/>
          <w:szCs w:val="16"/>
          <w:b w:val="1"/>
          <w:bCs w:val="1"/>
          <w:color w:val="auto"/>
        </w:rPr>
        <w:t>SECURITIES LAWS</w:t>
      </w:r>
    </w:p>
    <w:p>
      <w:pPr>
        <w:spacing w:after="0" w:line="234" w:lineRule="exact"/>
        <w:rPr>
          <w:sz w:val="20"/>
          <w:szCs w:val="20"/>
          <w:color w:val="auto"/>
        </w:rPr>
      </w:pPr>
    </w:p>
    <w:p>
      <w:pPr>
        <w:ind w:right="60" w:firstLine="586"/>
        <w:spacing w:after="0" w:line="275" w:lineRule="auto"/>
        <w:rPr>
          <w:sz w:val="20"/>
          <w:szCs w:val="20"/>
          <w:color w:val="auto"/>
        </w:rPr>
      </w:pPr>
      <w:r>
        <w:rPr>
          <w:rFonts w:ascii="Arial" w:cs="Arial" w:eastAsia="Arial" w:hAnsi="Arial"/>
          <w:sz w:val="17"/>
          <w:szCs w:val="17"/>
          <w:color w:val="auto"/>
        </w:rPr>
        <w:t>The Plan does not require a prospectus to be submitted for approval to the French Financial Market Authority (the “</w:t>
      </w:r>
      <w:r>
        <w:rPr>
          <w:rFonts w:ascii="Arial" w:cs="Arial" w:eastAsia="Arial" w:hAnsi="Arial"/>
          <w:sz w:val="17"/>
          <w:szCs w:val="17"/>
          <w:b w:val="1"/>
          <w:bCs w:val="1"/>
          <w:i w:val="1"/>
          <w:iCs w:val="1"/>
          <w:color w:val="auto"/>
        </w:rPr>
        <w:t>Autorité des marchés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financiers</w:t>
      </w:r>
      <w:r>
        <w:rPr>
          <w:rFonts w:ascii="Arial" w:cs="Arial" w:eastAsia="Arial" w:hAnsi="Arial"/>
          <w:sz w:val="17"/>
          <w:szCs w:val="17"/>
          <w:color w:val="auto"/>
        </w:rPr>
        <w:t>”). Persons or entities referred to in Point 2°, Section II of Article L. 411-2 of the French Monetary and Financial Code may take part in the Plan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solely for their own account, as provided in Articles D. 411-1, D. 411-2, D. 734-1, D. 744-1, D. 754-1 and D. 764-1 of the French Monetary and Financial Code. The financial instruments purchased under the Plan cannot be distributed directly or indirectly to the public otherwise than in accordance with Articles L. 411-1, L. 411-2, L. 412-1 and L. 621-8 to L. 621-8-3 of the French Monetary and Financial Code.</w:t>
      </w:r>
    </w:p>
    <w:p>
      <w:pPr>
        <w:spacing w:after="0" w:line="177" w:lineRule="exact"/>
        <w:rPr>
          <w:sz w:val="20"/>
          <w:szCs w:val="20"/>
          <w:color w:val="auto"/>
        </w:rPr>
      </w:pPr>
    </w:p>
    <w:p>
      <w:pPr>
        <w:ind w:left="580" w:hanging="572"/>
        <w:spacing w:after="0"/>
        <w:tabs>
          <w:tab w:leader="none" w:pos="580" w:val="left"/>
        </w:tabs>
        <w:numPr>
          <w:ilvl w:val="0"/>
          <w:numId w:val="90"/>
        </w:numPr>
        <w:rPr>
          <w:rFonts w:ascii="Arial" w:cs="Arial" w:eastAsia="Arial" w:hAnsi="Arial"/>
          <w:sz w:val="16"/>
          <w:szCs w:val="16"/>
          <w:b w:val="1"/>
          <w:bCs w:val="1"/>
          <w:color w:val="auto"/>
        </w:rPr>
      </w:pPr>
      <w:r>
        <w:rPr>
          <w:rFonts w:ascii="Arial" w:cs="Arial" w:eastAsia="Arial" w:hAnsi="Arial"/>
          <w:sz w:val="16"/>
          <w:szCs w:val="16"/>
          <w:b w:val="1"/>
          <w:bCs w:val="1"/>
          <w:color w:val="auto"/>
        </w:rPr>
        <w:t>TAX CONSEQUENCES</w:t>
      </w:r>
    </w:p>
    <w:p>
      <w:pPr>
        <w:spacing w:after="0" w:line="234" w:lineRule="exact"/>
        <w:rPr>
          <w:sz w:val="20"/>
          <w:szCs w:val="20"/>
          <w:color w:val="auto"/>
        </w:rPr>
      </w:pPr>
    </w:p>
    <w:p>
      <w:pPr>
        <w:ind w:right="40" w:firstLine="586"/>
        <w:spacing w:after="0" w:line="254" w:lineRule="auto"/>
        <w:rPr>
          <w:sz w:val="20"/>
          <w:szCs w:val="20"/>
          <w:color w:val="auto"/>
        </w:rPr>
      </w:pPr>
      <w:r>
        <w:rPr>
          <w:rFonts w:ascii="Arial" w:cs="Arial" w:eastAsia="Arial" w:hAnsi="Arial"/>
          <w:sz w:val="18"/>
          <w:szCs w:val="18"/>
          <w:color w:val="auto"/>
        </w:rPr>
        <w:t>Any tax consequences arising from the vesting or distribution or otherwise pursuant to a right granted under the Plan shall be borne solely by the Eligible Employee (including, without limitation, the Eligible Employee’s individual income tax and the Eligible Employee’s social security contributions, if applicable). The Company Group shall be entitled to (a) withhold Eligible Employee’s social security contributions and individual income tax (if required) according to the requirements under Applicable Laws, rules and regulations, including withholding taxes at source and (b) report the income and requested details in respect of any right granted under the Plan to the competent tax and social security authorities. Furthermore, the Eligible Employee shall agree to indemnify the Company Group and hold them harmless against and from any and all liability for any such tax or other payment or interest or penalty thereon, including without limitation, liabilities relating to the necessity to withhold, or to have withheld, any such tax from any payment made to the Eligible Employee.</w:t>
      </w:r>
    </w:p>
    <w:p>
      <w:pPr>
        <w:spacing w:after="0" w:line="192" w:lineRule="exact"/>
        <w:rPr>
          <w:sz w:val="20"/>
          <w:szCs w:val="20"/>
          <w:color w:val="auto"/>
        </w:rPr>
      </w:pPr>
    </w:p>
    <w:p>
      <w:pPr>
        <w:ind w:left="580" w:hanging="572"/>
        <w:spacing w:after="0"/>
        <w:tabs>
          <w:tab w:leader="none" w:pos="580" w:val="left"/>
        </w:tabs>
        <w:numPr>
          <w:ilvl w:val="0"/>
          <w:numId w:val="91"/>
        </w:numPr>
        <w:rPr>
          <w:rFonts w:ascii="Arial" w:cs="Arial" w:eastAsia="Arial" w:hAnsi="Arial"/>
          <w:sz w:val="16"/>
          <w:szCs w:val="16"/>
          <w:b w:val="1"/>
          <w:bCs w:val="1"/>
          <w:color w:val="auto"/>
        </w:rPr>
      </w:pPr>
      <w:r>
        <w:rPr>
          <w:rFonts w:ascii="Arial" w:cs="Arial" w:eastAsia="Arial" w:hAnsi="Arial"/>
          <w:sz w:val="16"/>
          <w:szCs w:val="16"/>
          <w:b w:val="1"/>
          <w:bCs w:val="1"/>
          <w:color w:val="auto"/>
        </w:rPr>
        <w:t>LANGUAGE CONSENT</w:t>
      </w:r>
    </w:p>
    <w:p>
      <w:pPr>
        <w:spacing w:after="0" w:line="234" w:lineRule="exact"/>
        <w:rPr>
          <w:sz w:val="20"/>
          <w:szCs w:val="20"/>
          <w:color w:val="auto"/>
        </w:rPr>
      </w:pPr>
    </w:p>
    <w:p>
      <w:pPr>
        <w:ind w:right="20" w:firstLine="586"/>
        <w:spacing w:after="0" w:line="342" w:lineRule="auto"/>
        <w:rPr>
          <w:sz w:val="20"/>
          <w:szCs w:val="20"/>
          <w:color w:val="auto"/>
        </w:rPr>
      </w:pPr>
      <w:r>
        <w:rPr>
          <w:rFonts w:ascii="Arial" w:cs="Arial" w:eastAsia="Arial" w:hAnsi="Arial"/>
          <w:sz w:val="16"/>
          <w:szCs w:val="16"/>
          <w:color w:val="auto"/>
        </w:rPr>
        <w:t>By agreeing to participate in the Plan, each Eligible Employee Participant confirms having read and understood the documents relating to the Plan, this Sub-Plan and the subscription agreement, which were provided in English language. Participant accepts the terms of those documents accordingly.</w:t>
      </w:r>
    </w:p>
    <w:p>
      <w:pPr>
        <w:spacing w:after="0" w:line="124" w:lineRule="exact"/>
        <w:rPr>
          <w:sz w:val="20"/>
          <w:szCs w:val="20"/>
          <w:color w:val="auto"/>
        </w:rPr>
      </w:pPr>
    </w:p>
    <w:p>
      <w:pPr>
        <w:ind w:right="220" w:firstLine="586"/>
        <w:spacing w:after="0" w:line="277" w:lineRule="auto"/>
        <w:rPr>
          <w:sz w:val="20"/>
          <w:szCs w:val="20"/>
          <w:color w:val="auto"/>
        </w:rPr>
      </w:pPr>
      <w:r>
        <w:rPr>
          <w:rFonts w:ascii="Arial" w:cs="Arial" w:eastAsia="Arial" w:hAnsi="Arial"/>
          <w:sz w:val="18"/>
          <w:szCs w:val="18"/>
          <w:i w:val="1"/>
          <w:iCs w:val="1"/>
          <w:color w:val="auto"/>
        </w:rPr>
        <w:t>En acceptant l’attribution, vous confirmez ainsi avoir lu et compris les documents relatifs à cette attribution (le Plan, le contrat et cette Annexe) qui ont été communiqués en langue anglaise. Vous acceptez les termes en connaissance de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129" w:name="page130"/>
    <w:bookmarkEnd w:id="129"/>
    <w:p>
      <w:pPr>
        <w:jc w:val="center"/>
        <w:ind w:right="-59"/>
        <w:spacing w:after="0"/>
        <w:rPr>
          <w:sz w:val="20"/>
          <w:szCs w:val="20"/>
          <w:color w:val="auto"/>
        </w:rPr>
      </w:pPr>
      <w:r>
        <w:rPr>
          <w:rFonts w:ascii="Arial" w:cs="Arial" w:eastAsia="Arial" w:hAnsi="Arial"/>
          <w:sz w:val="18"/>
          <w:szCs w:val="18"/>
          <w:b w:val="1"/>
          <w:bCs w:val="1"/>
          <w:color w:val="auto"/>
        </w:rPr>
        <w:t>CORSAIR GAMING,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2020 EMPLOYEE STOCK PURCHASE PLAN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SUB-PLAN FOR</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INTERNATIONAL PARTICIPANTS</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GERMANY</w:t>
      </w:r>
    </w:p>
    <w:p>
      <w:pPr>
        <w:spacing w:after="0" w:line="230" w:lineRule="exact"/>
        <w:rPr>
          <w:sz w:val="20"/>
          <w:szCs w:val="20"/>
          <w:color w:val="auto"/>
        </w:rPr>
      </w:pPr>
    </w:p>
    <w:p>
      <w:pPr>
        <w:ind w:left="580" w:hanging="572"/>
        <w:spacing w:after="0"/>
        <w:tabs>
          <w:tab w:leader="none" w:pos="580" w:val="left"/>
        </w:tabs>
        <w:numPr>
          <w:ilvl w:val="0"/>
          <w:numId w:val="92"/>
        </w:numPr>
        <w:rPr>
          <w:rFonts w:ascii="Arial" w:cs="Arial" w:eastAsia="Arial" w:hAnsi="Arial"/>
          <w:sz w:val="16"/>
          <w:szCs w:val="16"/>
          <w:b w:val="1"/>
          <w:bCs w:val="1"/>
          <w:color w:val="auto"/>
        </w:rPr>
      </w:pPr>
      <w:r>
        <w:rPr>
          <w:rFonts w:ascii="Arial" w:cs="Arial" w:eastAsia="Arial" w:hAnsi="Arial"/>
          <w:sz w:val="16"/>
          <w:szCs w:val="16"/>
          <w:b w:val="1"/>
          <w:bCs w:val="1"/>
          <w:color w:val="auto"/>
        </w:rPr>
        <w:t>APPLICATION</w:t>
      </w:r>
    </w:p>
    <w:p>
      <w:pPr>
        <w:spacing w:after="0" w:line="234" w:lineRule="exact"/>
        <w:rPr>
          <w:sz w:val="20"/>
          <w:szCs w:val="20"/>
          <w:color w:val="auto"/>
        </w:rPr>
      </w:pPr>
    </w:p>
    <w:p>
      <w:pPr>
        <w:ind w:firstLine="586"/>
        <w:spacing w:after="0" w:line="263" w:lineRule="auto"/>
        <w:rPr>
          <w:sz w:val="20"/>
          <w:szCs w:val="20"/>
          <w:color w:val="auto"/>
        </w:rPr>
      </w:pPr>
      <w:r>
        <w:rPr>
          <w:rFonts w:ascii="Arial" w:cs="Arial" w:eastAsia="Arial" w:hAnsi="Arial"/>
          <w:sz w:val="18"/>
          <w:szCs w:val="18"/>
          <w:color w:val="auto"/>
        </w:rPr>
        <w:t>This section sets forth additional terms and conditions applicable to the rights granted to, and the shares of Stock purchased by, Eligible Employees who are (or are deemed to be) resident in Germany for the purpose of payment of taxes or who exercise all of their employment duties in Germany and forms an integral part of the Plan and Sub-Plan.</w:t>
      </w:r>
    </w:p>
    <w:p>
      <w:pPr>
        <w:spacing w:after="0" w:line="184" w:lineRule="exact"/>
        <w:rPr>
          <w:sz w:val="20"/>
          <w:szCs w:val="20"/>
          <w:color w:val="auto"/>
        </w:rPr>
      </w:pPr>
    </w:p>
    <w:p>
      <w:pPr>
        <w:ind w:left="580" w:hanging="572"/>
        <w:spacing w:after="0"/>
        <w:tabs>
          <w:tab w:leader="none" w:pos="580" w:val="left"/>
        </w:tabs>
        <w:numPr>
          <w:ilvl w:val="0"/>
          <w:numId w:val="93"/>
        </w:numPr>
        <w:rPr>
          <w:rFonts w:ascii="Arial" w:cs="Arial" w:eastAsia="Arial" w:hAnsi="Arial"/>
          <w:sz w:val="16"/>
          <w:szCs w:val="16"/>
          <w:b w:val="1"/>
          <w:bCs w:val="1"/>
          <w:color w:val="auto"/>
        </w:rPr>
      </w:pPr>
      <w:r>
        <w:rPr>
          <w:rFonts w:ascii="Arial" w:cs="Arial" w:eastAsia="Arial" w:hAnsi="Arial"/>
          <w:sz w:val="16"/>
          <w:szCs w:val="16"/>
          <w:b w:val="1"/>
          <w:bCs w:val="1"/>
          <w:color w:val="auto"/>
        </w:rPr>
        <w:t>DEFINITION OF EMPLOYEE</w:t>
      </w:r>
    </w:p>
    <w:p>
      <w:pPr>
        <w:spacing w:after="0" w:line="234" w:lineRule="exact"/>
        <w:rPr>
          <w:sz w:val="20"/>
          <w:szCs w:val="20"/>
          <w:color w:val="auto"/>
        </w:rPr>
      </w:pPr>
    </w:p>
    <w:p>
      <w:pPr>
        <w:ind w:right="140" w:firstLine="586"/>
        <w:spacing w:after="0" w:line="263" w:lineRule="auto"/>
        <w:rPr>
          <w:sz w:val="20"/>
          <w:szCs w:val="20"/>
          <w:color w:val="auto"/>
        </w:rPr>
      </w:pPr>
      <w:r>
        <w:rPr>
          <w:rFonts w:ascii="Arial" w:cs="Arial" w:eastAsia="Arial" w:hAnsi="Arial"/>
          <w:sz w:val="18"/>
          <w:szCs w:val="18"/>
          <w:color w:val="auto"/>
        </w:rPr>
        <w:t xml:space="preserve">The definition of Employee shall, for the avoidance of doubt, include the directors of any German Designated Subsidiary who perform paid work for such German Designated Subsidiary under a director’s contract. </w:t>
      </w:r>
      <w:r>
        <w:rPr>
          <w:rFonts w:ascii="Arial" w:cs="Arial" w:eastAsia="Arial" w:hAnsi="Arial"/>
          <w:sz w:val="18"/>
          <w:szCs w:val="18"/>
          <w:b w:val="1"/>
          <w:bCs w:val="1"/>
          <w:color w:val="auto"/>
        </w:rPr>
        <w:t>Eligible Employees in Germany are advised that part-time and temporary</w:t>
      </w:r>
      <w:r>
        <w:rPr>
          <w:rFonts w:ascii="Arial" w:cs="Arial" w:eastAsia="Arial" w:hAnsi="Arial"/>
          <w:sz w:val="18"/>
          <w:szCs w:val="18"/>
          <w:color w:val="auto"/>
        </w:rPr>
        <w:t xml:space="preserve"> </w:t>
      </w:r>
      <w:r>
        <w:rPr>
          <w:rFonts w:ascii="Arial" w:cs="Arial" w:eastAsia="Arial" w:hAnsi="Arial"/>
          <w:sz w:val="18"/>
          <w:szCs w:val="18"/>
          <w:b w:val="1"/>
          <w:bCs w:val="1"/>
          <w:color w:val="auto"/>
        </w:rPr>
        <w:t>Employees may be excluded from participation in the Plan.</w:t>
      </w:r>
    </w:p>
    <w:p>
      <w:pPr>
        <w:spacing w:after="0" w:line="184" w:lineRule="exact"/>
        <w:rPr>
          <w:sz w:val="20"/>
          <w:szCs w:val="20"/>
          <w:color w:val="auto"/>
        </w:rPr>
      </w:pPr>
    </w:p>
    <w:p>
      <w:pPr>
        <w:ind w:left="580" w:hanging="572"/>
        <w:spacing w:after="0"/>
        <w:tabs>
          <w:tab w:leader="none" w:pos="580" w:val="left"/>
        </w:tabs>
        <w:numPr>
          <w:ilvl w:val="0"/>
          <w:numId w:val="94"/>
        </w:numPr>
        <w:rPr>
          <w:rFonts w:ascii="Arial" w:cs="Arial" w:eastAsia="Arial" w:hAnsi="Arial"/>
          <w:sz w:val="16"/>
          <w:szCs w:val="16"/>
          <w:b w:val="1"/>
          <w:bCs w:val="1"/>
          <w:color w:val="auto"/>
        </w:rPr>
      </w:pPr>
      <w:r>
        <w:rPr>
          <w:rFonts w:ascii="Arial" w:cs="Arial" w:eastAsia="Arial" w:hAnsi="Arial"/>
          <w:sz w:val="16"/>
          <w:szCs w:val="16"/>
          <w:b w:val="1"/>
          <w:bCs w:val="1"/>
          <w:color w:val="auto"/>
        </w:rPr>
        <w:t>LEAVES OF ABSENCES</w:t>
      </w:r>
    </w:p>
    <w:p>
      <w:pPr>
        <w:spacing w:after="0" w:line="23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Company’s discretion to grant Options under the Plan and Sub-Plan shall be exercised in a manner complying with German law, in particular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with the labor law principle of equal treatment (</w:t>
      </w:r>
      <w:r>
        <w:rPr>
          <w:rFonts w:ascii="Arial" w:cs="Arial" w:eastAsia="Arial" w:hAnsi="Arial"/>
          <w:sz w:val="18"/>
          <w:szCs w:val="18"/>
          <w:i w:val="1"/>
          <w:iCs w:val="1"/>
          <w:color w:val="auto"/>
        </w:rPr>
        <w:t>arbeitsrechtlicher Gleichbehandlungsgrundsatz</w:t>
      </w:r>
      <w:r>
        <w:rPr>
          <w:rFonts w:ascii="Arial" w:cs="Arial" w:eastAsia="Arial" w:hAnsi="Arial"/>
          <w:sz w:val="18"/>
          <w:szCs w:val="18"/>
          <w:color w:val="auto"/>
        </w:rPr>
        <w:t>) and with the prohibition of discrimination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Diskriminierungsverbot</w:t>
      </w:r>
      <w:r>
        <w:rPr>
          <w:rFonts w:ascii="Arial" w:cs="Arial" w:eastAsia="Arial" w:hAnsi="Arial"/>
          <w:sz w:val="16"/>
          <w:szCs w:val="16"/>
          <w:color w:val="auto"/>
        </w:rPr>
        <w:t>). For the avoidance of doubt, any sick leave or other leave of absence as used in the Plan shall be interpreted and applied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compliant with German law.</w:t>
      </w:r>
    </w:p>
    <w:p>
      <w:pPr>
        <w:spacing w:after="0" w:line="211" w:lineRule="exact"/>
        <w:rPr>
          <w:sz w:val="20"/>
          <w:szCs w:val="20"/>
          <w:color w:val="auto"/>
        </w:rPr>
      </w:pPr>
    </w:p>
    <w:p>
      <w:pPr>
        <w:ind w:left="580" w:hanging="572"/>
        <w:spacing w:after="0"/>
        <w:tabs>
          <w:tab w:leader="none" w:pos="580" w:val="left"/>
        </w:tabs>
        <w:numPr>
          <w:ilvl w:val="0"/>
          <w:numId w:val="95"/>
        </w:numPr>
        <w:rPr>
          <w:rFonts w:ascii="Arial" w:cs="Arial" w:eastAsia="Arial" w:hAnsi="Arial"/>
          <w:sz w:val="16"/>
          <w:szCs w:val="16"/>
          <w:b w:val="1"/>
          <w:bCs w:val="1"/>
          <w:color w:val="auto"/>
        </w:rPr>
      </w:pPr>
      <w:r>
        <w:rPr>
          <w:rFonts w:ascii="Arial" w:cs="Arial" w:eastAsia="Arial" w:hAnsi="Arial"/>
          <w:sz w:val="16"/>
          <w:szCs w:val="16"/>
          <w:b w:val="1"/>
          <w:bCs w:val="1"/>
          <w:color w:val="auto"/>
        </w:rPr>
        <w:t>ACCOUNTS AND PARTICIPATION</w:t>
      </w:r>
    </w:p>
    <w:p>
      <w:pPr>
        <w:spacing w:after="0" w:line="234" w:lineRule="exact"/>
        <w:rPr>
          <w:sz w:val="20"/>
          <w:szCs w:val="20"/>
          <w:color w:val="auto"/>
        </w:rPr>
      </w:pPr>
    </w:p>
    <w:p>
      <w:pPr>
        <w:ind w:right="600" w:firstLine="586"/>
        <w:spacing w:after="0" w:line="263" w:lineRule="auto"/>
        <w:rPr>
          <w:sz w:val="20"/>
          <w:szCs w:val="20"/>
          <w:color w:val="auto"/>
        </w:rPr>
      </w:pPr>
      <w:r>
        <w:rPr>
          <w:rFonts w:ascii="Arial" w:cs="Arial" w:eastAsia="Arial" w:hAnsi="Arial"/>
          <w:sz w:val="18"/>
          <w:szCs w:val="18"/>
          <w:color w:val="auto"/>
        </w:rPr>
        <w:t>Each Participant’s accumulated payroll deductions under the Plan will be held in an account owned and managed by the Participant. The Administrator may establish procedures under the Plan and this Sub-Plan to ensure participation and administration of the Plan and Sub-Plan are in compliance with applicable German laws, rules and regulations.</w:t>
      </w:r>
    </w:p>
    <w:p>
      <w:pPr>
        <w:spacing w:after="0" w:line="184" w:lineRule="exact"/>
        <w:rPr>
          <w:sz w:val="20"/>
          <w:szCs w:val="20"/>
          <w:color w:val="auto"/>
        </w:rPr>
      </w:pPr>
    </w:p>
    <w:p>
      <w:pPr>
        <w:ind w:left="580" w:hanging="572"/>
        <w:spacing w:after="0"/>
        <w:tabs>
          <w:tab w:leader="none" w:pos="580" w:val="left"/>
        </w:tabs>
        <w:numPr>
          <w:ilvl w:val="0"/>
          <w:numId w:val="96"/>
        </w:numPr>
        <w:rPr>
          <w:rFonts w:ascii="Arial" w:cs="Arial" w:eastAsia="Arial" w:hAnsi="Arial"/>
          <w:sz w:val="16"/>
          <w:szCs w:val="16"/>
          <w:b w:val="1"/>
          <w:bCs w:val="1"/>
          <w:color w:val="auto"/>
        </w:rPr>
      </w:pPr>
      <w:r>
        <w:rPr>
          <w:rFonts w:ascii="Arial" w:cs="Arial" w:eastAsia="Arial" w:hAnsi="Arial"/>
          <w:sz w:val="16"/>
          <w:szCs w:val="16"/>
          <w:b w:val="1"/>
          <w:bCs w:val="1"/>
          <w:color w:val="auto"/>
        </w:rPr>
        <w:t>USE OF FUNDS</w:t>
      </w:r>
    </w:p>
    <w:p>
      <w:pPr>
        <w:spacing w:after="0" w:line="234" w:lineRule="exact"/>
        <w:rPr>
          <w:rFonts w:ascii="Arial" w:cs="Arial" w:eastAsia="Arial" w:hAnsi="Arial"/>
          <w:sz w:val="16"/>
          <w:szCs w:val="16"/>
          <w:b w:val="1"/>
          <w:bCs w:val="1"/>
          <w:color w:val="auto"/>
        </w:rPr>
      </w:pPr>
    </w:p>
    <w:p>
      <w:pPr>
        <w:ind w:left="600"/>
        <w:spacing w:after="0"/>
        <w:rPr>
          <w:rFonts w:ascii="Arial" w:cs="Arial" w:eastAsia="Arial" w:hAnsi="Arial"/>
          <w:sz w:val="16"/>
          <w:szCs w:val="16"/>
          <w:b w:val="1"/>
          <w:bCs w:val="1"/>
          <w:color w:val="auto"/>
        </w:rPr>
      </w:pPr>
      <w:r>
        <w:rPr>
          <w:rFonts w:ascii="Arial" w:cs="Arial" w:eastAsia="Arial" w:hAnsi="Arial"/>
          <w:sz w:val="18"/>
          <w:szCs w:val="18"/>
          <w:color w:val="auto"/>
        </w:rPr>
        <w:t>For the purposes of this Sub-Plan, Section 7.6 of the Plan does not apply.</w:t>
      </w:r>
    </w:p>
    <w:p>
      <w:pPr>
        <w:spacing w:after="0" w:line="225" w:lineRule="exact"/>
        <w:rPr>
          <w:rFonts w:ascii="Arial" w:cs="Arial" w:eastAsia="Arial" w:hAnsi="Arial"/>
          <w:sz w:val="16"/>
          <w:szCs w:val="16"/>
          <w:b w:val="1"/>
          <w:bCs w:val="1"/>
          <w:color w:val="auto"/>
        </w:rPr>
      </w:pPr>
    </w:p>
    <w:p>
      <w:pPr>
        <w:ind w:left="580" w:hanging="572"/>
        <w:spacing w:after="0"/>
        <w:tabs>
          <w:tab w:leader="none" w:pos="580" w:val="left"/>
        </w:tabs>
        <w:numPr>
          <w:ilvl w:val="0"/>
          <w:numId w:val="96"/>
        </w:numPr>
        <w:rPr>
          <w:rFonts w:ascii="Arial" w:cs="Arial" w:eastAsia="Arial" w:hAnsi="Arial"/>
          <w:sz w:val="16"/>
          <w:szCs w:val="16"/>
          <w:b w:val="1"/>
          <w:bCs w:val="1"/>
          <w:color w:val="auto"/>
        </w:rPr>
      </w:pPr>
      <w:r>
        <w:rPr>
          <w:rFonts w:ascii="Arial" w:cs="Arial" w:eastAsia="Arial" w:hAnsi="Arial"/>
          <w:sz w:val="16"/>
          <w:szCs w:val="16"/>
          <w:b w:val="1"/>
          <w:bCs w:val="1"/>
          <w:color w:val="auto"/>
        </w:rPr>
        <w:t>NO LEGAL CLAIM</w:t>
      </w:r>
    </w:p>
    <w:p>
      <w:pPr>
        <w:spacing w:after="0" w:line="234" w:lineRule="exact"/>
        <w:rPr>
          <w:sz w:val="20"/>
          <w:szCs w:val="20"/>
          <w:color w:val="auto"/>
        </w:rPr>
      </w:pPr>
    </w:p>
    <w:p>
      <w:pPr>
        <w:ind w:right="100" w:firstLine="586"/>
        <w:spacing w:after="0" w:line="277" w:lineRule="auto"/>
        <w:rPr>
          <w:sz w:val="20"/>
          <w:szCs w:val="20"/>
          <w:color w:val="auto"/>
        </w:rPr>
      </w:pPr>
      <w:r>
        <w:rPr>
          <w:rFonts w:ascii="Arial" w:cs="Arial" w:eastAsia="Arial" w:hAnsi="Arial"/>
          <w:sz w:val="18"/>
          <w:szCs w:val="18"/>
          <w:color w:val="auto"/>
        </w:rPr>
        <w:t>Each Participant acknowledges and agrees that any Option under the Plan and Sub-Plan is a voluntary one-time benefit, and that the Participant in the Plan and Sub-Plan does not have a legal claim for further Options under the Plan.</w:t>
      </w:r>
    </w:p>
    <w:p>
      <w:pPr>
        <w:spacing w:after="0" w:line="166" w:lineRule="exact"/>
        <w:rPr>
          <w:sz w:val="20"/>
          <w:szCs w:val="20"/>
          <w:color w:val="auto"/>
        </w:rPr>
      </w:pPr>
    </w:p>
    <w:p>
      <w:pPr>
        <w:ind w:left="580" w:hanging="572"/>
        <w:spacing w:after="0"/>
        <w:tabs>
          <w:tab w:leader="none" w:pos="58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BOARD, ADMINISTRATOR AND COMMITTEE DISCRETION AND DECISIONS</w:t>
      </w:r>
    </w:p>
    <w:p>
      <w:pPr>
        <w:spacing w:after="0" w:line="229" w:lineRule="exact"/>
        <w:rPr>
          <w:sz w:val="20"/>
          <w:szCs w:val="20"/>
          <w:color w:val="auto"/>
        </w:rPr>
      </w:pPr>
    </w:p>
    <w:p>
      <w:pPr>
        <w:ind w:right="320" w:firstLine="586"/>
        <w:spacing w:after="0" w:line="277" w:lineRule="auto"/>
        <w:rPr>
          <w:sz w:val="20"/>
          <w:szCs w:val="20"/>
          <w:color w:val="auto"/>
        </w:rPr>
      </w:pPr>
      <w:r>
        <w:rPr>
          <w:rFonts w:ascii="Arial" w:cs="Arial" w:eastAsia="Arial" w:hAnsi="Arial"/>
          <w:sz w:val="18"/>
          <w:szCs w:val="18"/>
          <w:color w:val="auto"/>
        </w:rPr>
        <w:t>The discretion of the Administrator under the Plan and the Sub-Plan, including their interpretation and any decisions taken thereunder, shall be exercised reasonably (</w:t>
      </w:r>
      <w:r>
        <w:rPr>
          <w:rFonts w:ascii="Arial" w:cs="Arial" w:eastAsia="Arial" w:hAnsi="Arial"/>
          <w:sz w:val="18"/>
          <w:szCs w:val="18"/>
          <w:i w:val="1"/>
          <w:iCs w:val="1"/>
          <w:color w:val="auto"/>
        </w:rPr>
        <w:t>nach billigem Ermessen</w:t>
      </w:r>
      <w:r>
        <w:rPr>
          <w:rFonts w:ascii="Arial" w:cs="Arial" w:eastAsia="Arial" w:hAnsi="Arial"/>
          <w:sz w:val="18"/>
          <w:szCs w:val="18"/>
          <w:color w:val="auto"/>
        </w:rPr>
        <w:t>) in accordance with German law.</w:t>
      </w:r>
    </w:p>
    <w:p>
      <w:pPr>
        <w:spacing w:after="0" w:line="166" w:lineRule="exact"/>
        <w:rPr>
          <w:sz w:val="20"/>
          <w:szCs w:val="20"/>
          <w:color w:val="auto"/>
        </w:rPr>
      </w:pPr>
    </w:p>
    <w:p>
      <w:pPr>
        <w:ind w:left="580" w:hanging="572"/>
        <w:spacing w:after="0"/>
        <w:tabs>
          <w:tab w:leader="none" w:pos="58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CONSENT TO PERSONAL DATA PROCESSING AND TRANSFER</w:t>
      </w:r>
    </w:p>
    <w:p>
      <w:pPr>
        <w:spacing w:after="0" w:line="229"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The following provisions shall apply in lieu of Section 2(a) of the global provisions of the Sub-Plan:</w:t>
      </w:r>
    </w:p>
    <w:p>
      <w:pPr>
        <w:spacing w:after="0" w:line="225"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130" w:name="page131"/>
    <w:bookmarkEnd w:id="130"/>
    <w:p>
      <w:pPr>
        <w:ind w:firstLine="586"/>
        <w:spacing w:after="0" w:line="285" w:lineRule="auto"/>
        <w:rPr>
          <w:sz w:val="20"/>
          <w:szCs w:val="20"/>
          <w:color w:val="auto"/>
        </w:rPr>
      </w:pPr>
      <w:r>
        <w:rPr>
          <w:rFonts w:ascii="Arial" w:cs="Arial" w:eastAsia="Arial" w:hAnsi="Arial"/>
          <w:sz w:val="16"/>
          <w:szCs w:val="16"/>
          <w:color w:val="auto"/>
        </w:rPr>
        <w:t>It shall be a term and condition of each award under the Plan that an Eligible Employee acknowledges and consents to the collection, use, processing and transfer of personal data as described below. The Company, [INSERT OTHER COMPANY ENTITIES (NAMES AND ADDRESSES) WHO CAN RECEIVE DATA], and their affiliates (collectively, the “</w:t>
      </w:r>
      <w:r>
        <w:rPr>
          <w:rFonts w:ascii="Arial" w:cs="Arial" w:eastAsia="Arial" w:hAnsi="Arial"/>
          <w:sz w:val="16"/>
          <w:szCs w:val="16"/>
          <w:u w:val="single" w:color="auto"/>
          <w:color w:val="auto"/>
        </w:rPr>
        <w:t>Company Group</w:t>
      </w:r>
      <w:r>
        <w:rPr>
          <w:rFonts w:ascii="Arial" w:cs="Arial" w:eastAsia="Arial" w:hAnsi="Arial"/>
          <w:sz w:val="16"/>
          <w:szCs w:val="16"/>
          <w:color w:val="auto"/>
        </w:rPr>
        <w:t>”), hold certain personal information, including the Eligible Employee’s name, home address and telephone number, date of birth, social security number or other employee tax identification number, employment history and status, salary, nationality, job title, and any equity compensation grants awarded, cancelled, purchased, vested, unvested or outstanding in the Eligible Employee’s favor, for the only purpose of managing and administering the Plan (“</w:t>
      </w:r>
      <w:r>
        <w:rPr>
          <w:rFonts w:ascii="Arial" w:cs="Arial" w:eastAsia="Arial" w:hAnsi="Arial"/>
          <w:sz w:val="16"/>
          <w:szCs w:val="16"/>
          <w:b w:val="1"/>
          <w:bCs w:val="1"/>
          <w:i w:val="1"/>
          <w:iCs w:val="1"/>
          <w:color w:val="auto"/>
        </w:rPr>
        <w:t>Data</w:t>
      </w:r>
      <w:r>
        <w:rPr>
          <w:rFonts w:ascii="Arial" w:cs="Arial" w:eastAsia="Arial" w:hAnsi="Arial"/>
          <w:sz w:val="16"/>
          <w:szCs w:val="16"/>
          <w:color w:val="auto"/>
        </w:rPr>
        <w:t>”). The Company Group will transfer Data to any third parties assisting the Company in the implementation, administration and management of the Plan. The Company Group may also make the Data available to public authorities where required under locally applicable law. These recipients may be located in the United States, the European Economic Area, or elsewhere, which the Eligible Employee separately and expressly consents to, accepting that outside the European Economic Area, data protection laws may not be as protective as within. The third parties currently assisting the Company in the implementation, administration and management of the Plan are the following: [INSERT THIRD PARTIES (NAMES AND ADDRESSES) WHO CAN RECEIVE DATA]. However, from time to time, the Company Group may retain additional or different third parties for any of the purposes mentioned on which the Company will inform the Eligible Employee and seek additional consent of the Eligible Employee. The Eligible Employee hereby authorizes the Company Group to receive, possess, use, retain and transfer the Data, in electronic or other form, for the purposes of implementing, administering and managing participation in the Plan, including any requisite transfer of such Data as may be required for the administration of the Plan on behalf of the Eligible Employee to a third party with whom the Eligible Employee may have elected to have payment made pursuant to the Plan. A Participant may, at any time, review Data, require any necessary amendments to it or withdraw the consent herein in writing by contacting the Company through its local Human Resources Director; however, withdrawing the consent may affect the Participant’s ability to participate in the Plan and receive the benefits under the Election Form. Data will only be held as long as necessary to implement, administer and manage the Participant’s participation in the Plan and any subsequent claims or rights.</w:t>
      </w:r>
    </w:p>
    <w:p>
      <w:pPr>
        <w:spacing w:after="0" w:line="165" w:lineRule="exact"/>
        <w:rPr>
          <w:sz w:val="20"/>
          <w:szCs w:val="20"/>
          <w:color w:val="auto"/>
        </w:rPr>
      </w:pPr>
    </w:p>
    <w:p>
      <w:pPr>
        <w:ind w:left="580" w:hanging="572"/>
        <w:spacing w:after="0"/>
        <w:tabs>
          <w:tab w:leader="none" w:pos="58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TAXES AND OTHER WITHHOLDING</w:t>
      </w:r>
    </w:p>
    <w:p>
      <w:pPr>
        <w:spacing w:after="0" w:line="229" w:lineRule="exact"/>
        <w:rPr>
          <w:sz w:val="20"/>
          <w:szCs w:val="20"/>
          <w:color w:val="auto"/>
        </w:rPr>
      </w:pPr>
    </w:p>
    <w:p>
      <w:pPr>
        <w:jc w:val="both"/>
        <w:ind w:right="200" w:firstLine="586"/>
        <w:spacing w:after="0" w:line="286" w:lineRule="auto"/>
        <w:rPr>
          <w:sz w:val="20"/>
          <w:szCs w:val="20"/>
          <w:color w:val="auto"/>
        </w:rPr>
      </w:pPr>
      <w:r>
        <w:rPr>
          <w:rFonts w:ascii="Arial" w:cs="Arial" w:eastAsia="Arial" w:hAnsi="Arial"/>
          <w:sz w:val="17"/>
          <w:szCs w:val="17"/>
          <w:color w:val="auto"/>
        </w:rPr>
        <w:t>For the avoidance of doubt, any withholding and payment obligations under the Plan and the Sub-Plan shall be made by the relevant Designated Subsidiary employing the Eligible Employee when due and any taxes should always include German social security contributions (including the Eligible Employee’s portion) as well as any other mandatory withholding and pay obligations in accordance with German law.</w:t>
      </w:r>
    </w:p>
    <w:p>
      <w:pPr>
        <w:spacing w:after="0" w:line="161" w:lineRule="exact"/>
        <w:rPr>
          <w:sz w:val="20"/>
          <w:szCs w:val="20"/>
          <w:color w:val="auto"/>
        </w:rPr>
      </w:pPr>
    </w:p>
    <w:p>
      <w:pPr>
        <w:ind w:left="580" w:hanging="572"/>
        <w:spacing w:after="0"/>
        <w:tabs>
          <w:tab w:leader="none" w:pos="58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TAX CONSEQUENCES</w:t>
      </w:r>
    </w:p>
    <w:p>
      <w:pPr>
        <w:spacing w:after="0" w:line="229" w:lineRule="exact"/>
        <w:rPr>
          <w:sz w:val="20"/>
          <w:szCs w:val="20"/>
          <w:color w:val="auto"/>
        </w:rPr>
      </w:pPr>
    </w:p>
    <w:p>
      <w:pPr>
        <w:ind w:firstLine="586"/>
        <w:spacing w:after="0" w:line="271" w:lineRule="auto"/>
        <w:rPr>
          <w:sz w:val="20"/>
          <w:szCs w:val="20"/>
          <w:color w:val="auto"/>
        </w:rPr>
      </w:pPr>
      <w:r>
        <w:rPr>
          <w:rFonts w:ascii="Arial" w:cs="Arial" w:eastAsia="Arial" w:hAnsi="Arial"/>
          <w:sz w:val="17"/>
          <w:szCs w:val="17"/>
          <w:color w:val="auto"/>
        </w:rPr>
        <w:t>Any tax consequences arising from the vesting or distribution or otherwise pursuant an Option under the Plan or the Plan shall be borne solely by the Eligible Employee (including, without limitation, the Eligible Employee’s individual income tax and the Eligible Employee’s social security contributions, if applicable). The Company Group shall be entitled to (i) withhold an Eligible Employee’s social security contributions and individual income tax (if required) according to the requirements under applicable laws, rules and regulations, including withholding taxes at source and (ii) report the income and requested details in respect of any right to purchase shares of Stock under the Plan or the Plan to the competent tax and social security authorities. Furthermore, the Eligible Employee shall agree to indemnify the Company Group and hold them harmless against and from any and all liability for any such tax or other payment or interest or penalty thereon, including without limitation, liabilities relating to the necessity to withhold, or to have withheld, any such tax from any payment made to the Eligible Employee.</w:t>
      </w:r>
    </w:p>
    <w:p>
      <w:pPr>
        <w:spacing w:after="0" w:line="174" w:lineRule="exact"/>
        <w:rPr>
          <w:sz w:val="20"/>
          <w:szCs w:val="20"/>
          <w:color w:val="auto"/>
        </w:rPr>
      </w:pPr>
    </w:p>
    <w:p>
      <w:pPr>
        <w:ind w:left="580" w:hanging="572"/>
        <w:spacing w:after="0"/>
        <w:tabs>
          <w:tab w:leader="none" w:pos="58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EXCHANGE CONTROL INFORMATION</w:t>
      </w:r>
    </w:p>
    <w:p>
      <w:pPr>
        <w:spacing w:after="0" w:line="229" w:lineRule="exact"/>
        <w:rPr>
          <w:sz w:val="20"/>
          <w:szCs w:val="20"/>
          <w:color w:val="auto"/>
        </w:rPr>
      </w:pPr>
    </w:p>
    <w:p>
      <w:pPr>
        <w:ind w:right="140" w:firstLine="586"/>
        <w:spacing w:after="0" w:line="263" w:lineRule="auto"/>
        <w:rPr>
          <w:sz w:val="20"/>
          <w:szCs w:val="20"/>
          <w:color w:val="auto"/>
        </w:rPr>
      </w:pPr>
      <w:r>
        <w:rPr>
          <w:rFonts w:ascii="Arial" w:cs="Arial" w:eastAsia="Arial" w:hAnsi="Arial"/>
          <w:sz w:val="18"/>
          <w:szCs w:val="18"/>
          <w:color w:val="auto"/>
        </w:rPr>
        <w:t>Cross-border payments in excess of €12,500 must be reported monthly to the German Federal Bank (</w:t>
      </w:r>
      <w:r>
        <w:rPr>
          <w:rFonts w:ascii="Arial" w:cs="Arial" w:eastAsia="Arial" w:hAnsi="Arial"/>
          <w:sz w:val="18"/>
          <w:szCs w:val="18"/>
          <w:i w:val="1"/>
          <w:iCs w:val="1"/>
          <w:color w:val="auto"/>
        </w:rPr>
        <w:t>Bundesbank</w:t>
      </w:r>
      <w:r>
        <w:rPr>
          <w:rFonts w:ascii="Arial" w:cs="Arial" w:eastAsia="Arial" w:hAnsi="Arial"/>
          <w:sz w:val="18"/>
          <w:szCs w:val="18"/>
          <w:color w:val="auto"/>
        </w:rPr>
        <w:t>). In the event Participant makes or receives a payment in excess of this amount, he or she must report the payment to Bundesbank electronically using the “General Statistics Reporting Portal” (“</w:t>
      </w:r>
      <w:r>
        <w:rPr>
          <w:rFonts w:ascii="Arial" w:cs="Arial" w:eastAsia="Arial" w:hAnsi="Arial"/>
          <w:sz w:val="18"/>
          <w:szCs w:val="18"/>
          <w:i w:val="1"/>
          <w:iCs w:val="1"/>
          <w:color w:val="auto"/>
        </w:rPr>
        <w:t>Allgemeines Meldeportal Statistik</w:t>
      </w:r>
      <w:r>
        <w:rPr>
          <w:rFonts w:ascii="Arial" w:cs="Arial" w:eastAsia="Arial" w:hAnsi="Arial"/>
          <w:sz w:val="18"/>
          <w:szCs w:val="18"/>
          <w:color w:val="auto"/>
        </w:rPr>
        <w:t>”) available via Bundesbank’s website (</w:t>
      </w:r>
      <w:r>
        <w:rPr>
          <w:rFonts w:ascii="Arial" w:cs="Arial" w:eastAsia="Arial" w:hAnsi="Arial"/>
          <w:sz w:val="18"/>
          <w:szCs w:val="18"/>
          <w:u w:val="single" w:color="auto"/>
          <w:color w:val="auto"/>
        </w:rPr>
        <w:t>www.bundesbank.de</w:t>
      </w:r>
      <w:r>
        <w:rPr>
          <w:rFonts w:ascii="Arial" w:cs="Arial" w:eastAsia="Arial" w:hAnsi="Arial"/>
          <w:sz w:val="18"/>
          <w:szCs w:val="18"/>
          <w:color w:val="auto"/>
        </w:rPr>
        <w:t>).</w:t>
      </w:r>
    </w:p>
    <w:p>
      <w:pPr>
        <w:spacing w:after="0" w:line="184"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31" w:name="page132"/>
    <w:bookmarkEnd w:id="131"/>
    <w:p>
      <w:pPr>
        <w:ind w:left="580" w:hanging="572"/>
        <w:spacing w:after="0"/>
        <w:tabs>
          <w:tab w:leader="none" w:pos="58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FOREIGN ASSET/ACCOUNT REPORTING INFORMATION</w:t>
      </w:r>
    </w:p>
    <w:p>
      <w:pPr>
        <w:spacing w:after="0" w:line="229" w:lineRule="exact"/>
        <w:rPr>
          <w:sz w:val="20"/>
          <w:szCs w:val="20"/>
          <w:color w:val="auto"/>
        </w:rPr>
      </w:pPr>
    </w:p>
    <w:p>
      <w:pPr>
        <w:ind w:firstLine="586"/>
        <w:spacing w:after="0" w:line="257" w:lineRule="auto"/>
        <w:rPr>
          <w:sz w:val="20"/>
          <w:szCs w:val="20"/>
          <w:color w:val="auto"/>
        </w:rPr>
      </w:pPr>
      <w:r>
        <w:rPr>
          <w:rFonts w:ascii="Arial" w:cs="Arial" w:eastAsia="Arial" w:hAnsi="Arial"/>
          <w:sz w:val="18"/>
          <w:szCs w:val="18"/>
          <w:color w:val="auto"/>
        </w:rPr>
        <w:t>If Participant’s acquisition of shares acquired under the Plan leads to a so-called qualified participation at any point during the calendar year, Participant may need to report the acquisition when Participant files his or her tax return for the relevant year. A qualified participation is attained if (a) the value of the shares acquired exceeds €150,000 or (b) in the unlikely event Participant holds Stock exceeding 10% of the Company’s total Common Stock. However, if the Common Stock is listed on a recognized U.S. stock exchange and Participant owns less than 1% of the Company, this requirement will not apply to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553" w:right="419" w:bottom="1440" w:gutter="0" w:footer="0" w:header="0"/>
        </w:sectPr>
      </w:pPr>
    </w:p>
    <w:bookmarkStart w:id="132" w:name="page133"/>
    <w:bookmarkEnd w:id="132"/>
    <w:p>
      <w:pPr>
        <w:jc w:val="center"/>
        <w:ind w:right="-59"/>
        <w:spacing w:after="0"/>
        <w:rPr>
          <w:sz w:val="20"/>
          <w:szCs w:val="20"/>
          <w:color w:val="auto"/>
        </w:rPr>
      </w:pPr>
      <w:r>
        <w:rPr>
          <w:rFonts w:ascii="Arial" w:cs="Arial" w:eastAsia="Arial" w:hAnsi="Arial"/>
          <w:sz w:val="18"/>
          <w:szCs w:val="18"/>
          <w:b w:val="1"/>
          <w:bCs w:val="1"/>
          <w:color w:val="auto"/>
        </w:rPr>
        <w:t>CORSAIR GAMING,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2020 EMPLOYEE STOCK PURCHASE PLAN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SUB-PLAN FOR</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INTERNATIONAL PARTICIPANTS</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HONG KONG</w:t>
      </w:r>
    </w:p>
    <w:p>
      <w:pPr>
        <w:spacing w:after="0" w:line="230" w:lineRule="exact"/>
        <w:rPr>
          <w:sz w:val="20"/>
          <w:szCs w:val="20"/>
          <w:color w:val="auto"/>
        </w:rPr>
      </w:pPr>
    </w:p>
    <w:p>
      <w:pPr>
        <w:ind w:left="580" w:hanging="572"/>
        <w:spacing w:after="0"/>
        <w:tabs>
          <w:tab w:leader="none" w:pos="580" w:val="left"/>
        </w:tabs>
        <w:numPr>
          <w:ilvl w:val="0"/>
          <w:numId w:val="103"/>
        </w:numPr>
        <w:rPr>
          <w:rFonts w:ascii="Arial" w:cs="Arial" w:eastAsia="Arial" w:hAnsi="Arial"/>
          <w:sz w:val="16"/>
          <w:szCs w:val="16"/>
          <w:b w:val="1"/>
          <w:bCs w:val="1"/>
          <w:color w:val="auto"/>
        </w:rPr>
      </w:pPr>
      <w:r>
        <w:rPr>
          <w:rFonts w:ascii="Arial" w:cs="Arial" w:eastAsia="Arial" w:hAnsi="Arial"/>
          <w:sz w:val="16"/>
          <w:szCs w:val="16"/>
          <w:b w:val="1"/>
          <w:bCs w:val="1"/>
          <w:color w:val="auto"/>
        </w:rPr>
        <w:t>APPLICATION</w:t>
      </w:r>
    </w:p>
    <w:p>
      <w:pPr>
        <w:spacing w:after="0" w:line="234" w:lineRule="exact"/>
        <w:rPr>
          <w:sz w:val="20"/>
          <w:szCs w:val="20"/>
          <w:color w:val="auto"/>
        </w:rPr>
      </w:pPr>
    </w:p>
    <w:p>
      <w:pPr>
        <w:ind w:firstLine="586"/>
        <w:spacing w:after="0" w:line="263" w:lineRule="auto"/>
        <w:rPr>
          <w:sz w:val="20"/>
          <w:szCs w:val="20"/>
          <w:color w:val="auto"/>
        </w:rPr>
      </w:pPr>
      <w:r>
        <w:rPr>
          <w:rFonts w:ascii="Arial" w:cs="Arial" w:eastAsia="Arial" w:hAnsi="Arial"/>
          <w:sz w:val="18"/>
          <w:szCs w:val="18"/>
          <w:color w:val="auto"/>
        </w:rPr>
        <w:t>This section sets forth additional terms and conditions applicable to the rights granted to, and the Shares purchased by, Eligible Employees who are (or are deemed to be) resident in Hong Kong for the purpose of payment of taxes or who exercise all of their employment duties in Hong Kong and forms an integral part of the Plan and Sub-Plan.</w:t>
      </w:r>
    </w:p>
    <w:p>
      <w:pPr>
        <w:spacing w:after="0" w:line="184" w:lineRule="exact"/>
        <w:rPr>
          <w:sz w:val="20"/>
          <w:szCs w:val="20"/>
          <w:color w:val="auto"/>
        </w:rPr>
      </w:pPr>
    </w:p>
    <w:p>
      <w:pPr>
        <w:ind w:left="580" w:hanging="572"/>
        <w:spacing w:after="0"/>
        <w:tabs>
          <w:tab w:leader="none" w:pos="580" w:val="left"/>
        </w:tabs>
        <w:numPr>
          <w:ilvl w:val="0"/>
          <w:numId w:val="104"/>
        </w:numPr>
        <w:rPr>
          <w:rFonts w:ascii="Arial" w:cs="Arial" w:eastAsia="Arial" w:hAnsi="Arial"/>
          <w:sz w:val="16"/>
          <w:szCs w:val="16"/>
          <w:b w:val="1"/>
          <w:bCs w:val="1"/>
          <w:color w:val="auto"/>
        </w:rPr>
      </w:pPr>
      <w:r>
        <w:rPr>
          <w:rFonts w:ascii="Arial" w:cs="Arial" w:eastAsia="Arial" w:hAnsi="Arial"/>
          <w:sz w:val="16"/>
          <w:szCs w:val="16"/>
          <w:b w:val="1"/>
          <w:bCs w:val="1"/>
          <w:color w:val="auto"/>
        </w:rPr>
        <w:t>SECURITIES WARNING</w:t>
      </w:r>
    </w:p>
    <w:p>
      <w:pPr>
        <w:spacing w:after="0" w:line="234" w:lineRule="exact"/>
        <w:rPr>
          <w:sz w:val="20"/>
          <w:szCs w:val="20"/>
          <w:color w:val="auto"/>
        </w:rPr>
      </w:pPr>
    </w:p>
    <w:p>
      <w:pPr>
        <w:ind w:firstLine="586"/>
        <w:spacing w:after="0" w:line="293" w:lineRule="auto"/>
        <w:rPr>
          <w:sz w:val="20"/>
          <w:szCs w:val="20"/>
          <w:color w:val="auto"/>
        </w:rPr>
      </w:pPr>
      <w:r>
        <w:rPr>
          <w:rFonts w:ascii="Arial" w:cs="Arial" w:eastAsia="Arial" w:hAnsi="Arial"/>
          <w:sz w:val="16"/>
          <w:szCs w:val="16"/>
          <w:color w:val="auto"/>
        </w:rPr>
        <w:t>The grant of the purchase rights and the issuance of shares upon purchase do not constitute a public offer of securities under Hong Kong law and are available only to employees. The Plan, this Sub-Plan, any enrollment forms and other incidental communication materials that the Eligible Employee may receive have not been prepared in accordance with and are not intended to constitute a “prospectus” for a public offering of securities under applicable securities laws in Hong Kong. Furthermore, none of the documents relating to the Plan have been reviewed by any regulatory authority in Hong Kong. Each Eligible Employee is advised to exercise caution in relation to the offer. If a Eligible Employee is in any doubt about any of the contents of the Plan, this Sub-Plan, any enrollment forms and other communication materials, the Eligible Employee should obtain independent professional advice.</w:t>
      </w:r>
    </w:p>
    <w:p>
      <w:pPr>
        <w:spacing w:after="0" w:line="165" w:lineRule="exact"/>
        <w:rPr>
          <w:sz w:val="20"/>
          <w:szCs w:val="20"/>
          <w:color w:val="auto"/>
        </w:rPr>
      </w:pPr>
    </w:p>
    <w:p>
      <w:pPr>
        <w:ind w:left="580" w:hanging="572"/>
        <w:spacing w:after="0"/>
        <w:tabs>
          <w:tab w:leader="none" w:pos="580" w:val="left"/>
        </w:tabs>
        <w:numPr>
          <w:ilvl w:val="0"/>
          <w:numId w:val="105"/>
        </w:numPr>
        <w:rPr>
          <w:rFonts w:ascii="Arial" w:cs="Arial" w:eastAsia="Arial" w:hAnsi="Arial"/>
          <w:sz w:val="16"/>
          <w:szCs w:val="16"/>
          <w:b w:val="1"/>
          <w:bCs w:val="1"/>
          <w:color w:val="auto"/>
        </w:rPr>
      </w:pPr>
      <w:r>
        <w:rPr>
          <w:rFonts w:ascii="Arial" w:cs="Arial" w:eastAsia="Arial" w:hAnsi="Arial"/>
          <w:sz w:val="16"/>
          <w:szCs w:val="16"/>
          <w:b w:val="1"/>
          <w:bCs w:val="1"/>
          <w:color w:val="auto"/>
        </w:rPr>
        <w:t>NATURE OF SCHEME</w:t>
      </w:r>
    </w:p>
    <w:p>
      <w:pPr>
        <w:spacing w:after="0" w:line="234" w:lineRule="exact"/>
        <w:rPr>
          <w:sz w:val="20"/>
          <w:szCs w:val="20"/>
          <w:color w:val="auto"/>
        </w:rPr>
      </w:pPr>
    </w:p>
    <w:p>
      <w:pPr>
        <w:ind w:right="580" w:firstLine="586"/>
        <w:spacing w:after="0" w:line="277" w:lineRule="auto"/>
        <w:rPr>
          <w:sz w:val="20"/>
          <w:szCs w:val="20"/>
          <w:color w:val="auto"/>
        </w:rPr>
      </w:pPr>
      <w:r>
        <w:rPr>
          <w:rFonts w:ascii="Arial" w:cs="Arial" w:eastAsia="Arial" w:hAnsi="Arial"/>
          <w:sz w:val="18"/>
          <w:szCs w:val="18"/>
          <w:color w:val="auto"/>
        </w:rPr>
        <w:t>The Company specifically intends that the Plan will not be an occupational retirement scheme for purposes of the Occupational Retirement Schemes Ordinance.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133" w:name="page134"/>
    <w:bookmarkEnd w:id="133"/>
    <w:p>
      <w:pPr>
        <w:jc w:val="center"/>
        <w:ind w:right="19"/>
        <w:spacing w:after="0"/>
        <w:rPr>
          <w:sz w:val="20"/>
          <w:szCs w:val="20"/>
          <w:color w:val="auto"/>
        </w:rPr>
      </w:pPr>
      <w:r>
        <w:rPr>
          <w:rFonts w:ascii="Arial" w:cs="Arial" w:eastAsia="Arial" w:hAnsi="Arial"/>
          <w:sz w:val="18"/>
          <w:szCs w:val="18"/>
          <w:b w:val="1"/>
          <w:bCs w:val="1"/>
          <w:color w:val="auto"/>
        </w:rPr>
        <w:t>[CORSAIR GAMING,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2020 EMPLOYEE STOCK PURCHASE PLAN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SUB-PLAN FOR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INTERNATIONAL PARTICIPANTS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INDIA]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4946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4" w:name="page135"/>
    <w:bookmarkEnd w:id="134"/>
    <w:p>
      <w:pPr>
        <w:jc w:val="center"/>
        <w:ind w:right="-19"/>
        <w:spacing w:after="0"/>
        <w:rPr>
          <w:sz w:val="20"/>
          <w:szCs w:val="20"/>
          <w:color w:val="auto"/>
        </w:rPr>
      </w:pPr>
      <w:r>
        <w:rPr>
          <w:rFonts w:ascii="Arial" w:cs="Arial" w:eastAsia="Arial" w:hAnsi="Arial"/>
          <w:sz w:val="18"/>
          <w:szCs w:val="18"/>
          <w:b w:val="1"/>
          <w:bCs w:val="1"/>
          <w:color w:val="auto"/>
        </w:rPr>
        <w:t>CORSAIR GAMING,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2020 EMPLOYEE STOCK PURCHASE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SUB-PLAN FOR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INTERNATIONAL PARTICIPANTS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POLAND</w:t>
      </w:r>
    </w:p>
    <w:p>
      <w:pPr>
        <w:spacing w:after="0" w:line="229" w:lineRule="exact"/>
        <w:rPr>
          <w:sz w:val="20"/>
          <w:szCs w:val="20"/>
          <w:color w:val="auto"/>
        </w:rPr>
      </w:pPr>
    </w:p>
    <w:p>
      <w:pPr>
        <w:ind w:firstLine="594"/>
        <w:spacing w:after="0" w:line="259" w:lineRule="auto"/>
        <w:tabs>
          <w:tab w:leader="none" w:pos="766"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This Sub-Plan for Polish participants in the Corsair Gaming, Inc. Employee Stock Purchase Plan (this “</w:t>
      </w:r>
      <w:r>
        <w:rPr>
          <w:rFonts w:ascii="Arial" w:cs="Arial" w:eastAsia="Arial" w:hAnsi="Arial"/>
          <w:sz w:val="18"/>
          <w:szCs w:val="18"/>
          <w:u w:val="single" w:color="auto"/>
          <w:color w:val="auto"/>
        </w:rPr>
        <w:t>Sub-Plan</w:t>
      </w:r>
      <w:r>
        <w:rPr>
          <w:rFonts w:ascii="Arial" w:cs="Arial" w:eastAsia="Arial" w:hAnsi="Arial"/>
          <w:sz w:val="18"/>
          <w:szCs w:val="18"/>
          <w:color w:val="auto"/>
        </w:rPr>
        <w:t>”) sets forth additional terms and conditions applicable to awards granted to Eligible Employees who are (or are deemed to be) resident in Poland for the purpose of payment of taxes or who exercise all of their employment duties in Poland and forms an integral part of the Corsair Gaming, Inc. Employee Stock Purchase Plan (the “</w:t>
      </w:r>
      <w:r>
        <w:rPr>
          <w:rFonts w:ascii="Arial" w:cs="Arial" w:eastAsia="Arial" w:hAnsi="Arial"/>
          <w:sz w:val="18"/>
          <w:szCs w:val="18"/>
          <w:u w:val="single" w:color="auto"/>
          <w:color w:val="auto"/>
        </w:rPr>
        <w:t>Plan</w:t>
      </w:r>
      <w:r>
        <w:rPr>
          <w:rFonts w:ascii="Arial" w:cs="Arial" w:eastAsia="Arial" w:hAnsi="Arial"/>
          <w:sz w:val="18"/>
          <w:szCs w:val="18"/>
          <w:color w:val="auto"/>
        </w:rPr>
        <w:t>”).</w:t>
      </w:r>
    </w:p>
    <w:p>
      <w:pPr>
        <w:spacing w:after="0" w:line="187" w:lineRule="exact"/>
        <w:rPr>
          <w:sz w:val="20"/>
          <w:szCs w:val="20"/>
          <w:color w:val="auto"/>
        </w:rPr>
      </w:pPr>
    </w:p>
    <w:p>
      <w:pPr>
        <w:ind w:right="320" w:firstLine="586"/>
        <w:spacing w:after="0" w:line="263" w:lineRule="auto"/>
        <w:rPr>
          <w:sz w:val="20"/>
          <w:szCs w:val="20"/>
          <w:color w:val="auto"/>
        </w:rPr>
      </w:pPr>
      <w:r>
        <w:rPr>
          <w:rFonts w:ascii="Arial" w:cs="Arial" w:eastAsia="Arial" w:hAnsi="Arial"/>
          <w:sz w:val="18"/>
          <w:szCs w:val="18"/>
          <w:color w:val="auto"/>
        </w:rPr>
        <w:t>The Plan and this Sub-Plan are complementary to each other and shall be deemed as one. In any case of contradiction with respect to awards granted to Eligible Employees, whether explicit or implied, between the provisions of this Sub-Plan and the Plan, the provisions set out in the Sub-Plan shall prevail.</w:t>
      </w:r>
    </w:p>
    <w:p>
      <w:pPr>
        <w:spacing w:after="0" w:line="184" w:lineRule="exact"/>
        <w:rPr>
          <w:sz w:val="20"/>
          <w:szCs w:val="20"/>
          <w:color w:val="auto"/>
        </w:rPr>
      </w:pPr>
    </w:p>
    <w:p>
      <w:pPr>
        <w:ind w:firstLine="594"/>
        <w:spacing w:after="0" w:line="257" w:lineRule="auto"/>
        <w:tabs>
          <w:tab w:leader="none" w:pos="766"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Payroll Withholding Authorization</w:t>
      </w:r>
      <w:r>
        <w:rPr>
          <w:rFonts w:ascii="Arial" w:cs="Arial" w:eastAsia="Arial" w:hAnsi="Arial"/>
          <w:sz w:val="18"/>
          <w:szCs w:val="18"/>
          <w:color w:val="auto"/>
        </w:rPr>
        <w:t>. In order to purchase Common Stock under the Plan, each Eligible Employee must sign a payroll withholding authorization in such form distributed to participant by the Company or by the Employer (which form may be in addition to the subscription agreement), whereby the participant requests and authorizes the Employer to withhold from the participant’s Compensation the amount specified in such payroll authorization form and/or subscription agreement). A participant’s authorized withholding will continue until the participant files the prescribed notification form with the Administrator notifying it of the participant’s withdrawal from the Plan.</w:t>
      </w:r>
    </w:p>
    <w:p>
      <w:pPr>
        <w:spacing w:after="0" w:line="187" w:lineRule="exact"/>
        <w:rPr>
          <w:rFonts w:ascii="Arial" w:cs="Arial" w:eastAsia="Arial" w:hAnsi="Arial"/>
          <w:sz w:val="18"/>
          <w:szCs w:val="18"/>
          <w:color w:val="auto"/>
        </w:rPr>
      </w:pPr>
    </w:p>
    <w:p>
      <w:pPr>
        <w:ind w:firstLine="594"/>
        <w:spacing w:after="0" w:line="259" w:lineRule="auto"/>
        <w:tabs>
          <w:tab w:leader="none" w:pos="766"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Foreign Asset/Account Reporting Information</w:t>
      </w:r>
      <w:r>
        <w:rPr>
          <w:rFonts w:ascii="Arial" w:cs="Arial" w:eastAsia="Arial" w:hAnsi="Arial"/>
          <w:sz w:val="18"/>
          <w:szCs w:val="18"/>
          <w:color w:val="auto"/>
        </w:rPr>
        <w:t>. If an Eligible Employee maintains bank or brokerage accounts holding cash and foreign securities (including shares) outside of Poland, the Eligible Employee will be required to report information to the National Bank of Poland on transactions and balances in such accounts if the value of such cash and securities exceeds a certain threshold. If required, such reports must be filed on a quarterly basis on special forms available on the website of the National Bank of Poland.</w:t>
      </w:r>
    </w:p>
    <w:p>
      <w:pPr>
        <w:spacing w:after="0" w:line="186" w:lineRule="exact"/>
        <w:rPr>
          <w:rFonts w:ascii="Arial" w:cs="Arial" w:eastAsia="Arial" w:hAnsi="Arial"/>
          <w:sz w:val="18"/>
          <w:szCs w:val="18"/>
          <w:color w:val="auto"/>
        </w:rPr>
      </w:pPr>
    </w:p>
    <w:p>
      <w:pPr>
        <w:ind w:firstLine="594"/>
        <w:spacing w:after="0" w:line="263" w:lineRule="auto"/>
        <w:tabs>
          <w:tab w:leader="none" w:pos="766"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The transfer of funds in excess of a certain amount into Poland must be made through a bank account in Poland. Each participant is required to store all documents connected with any foreign exchange transactions for a period of five years, as measured from the end of the year in which such transaction occurred.</w:t>
      </w:r>
    </w:p>
    <w:p>
      <w:pPr>
        <w:spacing w:after="0" w:line="183" w:lineRule="exact"/>
        <w:rPr>
          <w:rFonts w:ascii="Arial" w:cs="Arial" w:eastAsia="Arial" w:hAnsi="Arial"/>
          <w:sz w:val="18"/>
          <w:szCs w:val="18"/>
          <w:color w:val="auto"/>
        </w:rPr>
      </w:pPr>
    </w:p>
    <w:p>
      <w:pPr>
        <w:ind w:right="40" w:firstLine="594"/>
        <w:spacing w:after="0" w:line="342" w:lineRule="auto"/>
        <w:tabs>
          <w:tab w:leader="none" w:pos="766"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The validity and enforceability of this Sub-Plan shall be governed by, and construed in accordance with, the laws of the State of Delaware without regard to otherwise governing principles of conflicts of law, except to the extent that mandatory provisions of the laws of Poland.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135" w:name="page136"/>
    <w:bookmarkEnd w:id="135"/>
    <w:p>
      <w:pPr>
        <w:jc w:val="center"/>
        <w:ind w:right="19"/>
        <w:spacing w:after="0"/>
        <w:rPr>
          <w:sz w:val="20"/>
          <w:szCs w:val="20"/>
          <w:color w:val="auto"/>
        </w:rPr>
      </w:pPr>
      <w:r>
        <w:rPr>
          <w:rFonts w:ascii="Arial" w:cs="Arial" w:eastAsia="Arial" w:hAnsi="Arial"/>
          <w:sz w:val="18"/>
          <w:szCs w:val="18"/>
          <w:b w:val="1"/>
          <w:bCs w:val="1"/>
          <w:color w:val="auto"/>
        </w:rPr>
        <w:t>[CORSAIR GAMING,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2020 EMPLOYEE STOCK PURCHASE PLAN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SUB-PLAN FOR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INTERNATIONAL PARTICIPANTS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SLOVENIA]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4946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6" w:name="page137"/>
    <w:bookmarkEnd w:id="136"/>
    <w:p>
      <w:pPr>
        <w:jc w:val="center"/>
        <w:ind w:right="-59"/>
        <w:spacing w:after="0"/>
        <w:rPr>
          <w:sz w:val="20"/>
          <w:szCs w:val="20"/>
          <w:color w:val="auto"/>
        </w:rPr>
      </w:pPr>
      <w:r>
        <w:rPr>
          <w:rFonts w:ascii="Arial" w:cs="Arial" w:eastAsia="Arial" w:hAnsi="Arial"/>
          <w:sz w:val="18"/>
          <w:szCs w:val="18"/>
          <w:b w:val="1"/>
          <w:bCs w:val="1"/>
          <w:color w:val="auto"/>
        </w:rPr>
        <w:t>CORSAIR GAMING,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2020 EMPLOYEE STOCK PURCHASE PLAN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SUB-PLAN FOR</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INTERNATIONAL PARTICIPANTS</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SOUTH KOREA</w:t>
      </w:r>
    </w:p>
    <w:p>
      <w:pPr>
        <w:spacing w:after="0" w:line="229" w:lineRule="exact"/>
        <w:rPr>
          <w:sz w:val="20"/>
          <w:szCs w:val="20"/>
          <w:color w:val="auto"/>
        </w:rPr>
      </w:pPr>
    </w:p>
    <w:p>
      <w:pPr>
        <w:ind w:right="20" w:firstLine="594"/>
        <w:spacing w:after="0" w:line="259" w:lineRule="auto"/>
        <w:tabs>
          <w:tab w:leader="none" w:pos="766"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This Sub-Plan for Korean participants in the Corsair Gaming, Inc. Employee Stock Purchase Plan (this “</w:t>
      </w:r>
      <w:r>
        <w:rPr>
          <w:rFonts w:ascii="Arial" w:cs="Arial" w:eastAsia="Arial" w:hAnsi="Arial"/>
          <w:sz w:val="18"/>
          <w:szCs w:val="18"/>
          <w:u w:val="single" w:color="auto"/>
          <w:color w:val="auto"/>
        </w:rPr>
        <w:t>Sub-Plan</w:t>
      </w:r>
      <w:r>
        <w:rPr>
          <w:rFonts w:ascii="Arial" w:cs="Arial" w:eastAsia="Arial" w:hAnsi="Arial"/>
          <w:sz w:val="18"/>
          <w:szCs w:val="18"/>
          <w:color w:val="auto"/>
        </w:rPr>
        <w:t>”) sets forth additional terms and conditions applicable to awards granted to Eligible Employees who are (or are deemed to be) resident in Korea for the purpose of payment of taxes or who exercise all of their employment duties in Korea and forms an integral part of the Corsair Gaming, Inc. Employee Stock Purchase Plan (the “</w:t>
      </w:r>
      <w:r>
        <w:rPr>
          <w:rFonts w:ascii="Arial" w:cs="Arial" w:eastAsia="Arial" w:hAnsi="Arial"/>
          <w:sz w:val="18"/>
          <w:szCs w:val="18"/>
          <w:u w:val="single" w:color="auto"/>
          <w:color w:val="auto"/>
        </w:rPr>
        <w:t>Plan</w:t>
      </w:r>
      <w:r>
        <w:rPr>
          <w:rFonts w:ascii="Arial" w:cs="Arial" w:eastAsia="Arial" w:hAnsi="Arial"/>
          <w:sz w:val="18"/>
          <w:szCs w:val="18"/>
          <w:color w:val="auto"/>
        </w:rPr>
        <w:t>”).</w:t>
      </w:r>
    </w:p>
    <w:p>
      <w:pPr>
        <w:spacing w:after="0" w:line="187" w:lineRule="exact"/>
        <w:rPr>
          <w:sz w:val="20"/>
          <w:szCs w:val="20"/>
          <w:color w:val="auto"/>
        </w:rPr>
      </w:pPr>
    </w:p>
    <w:p>
      <w:pPr>
        <w:ind w:right="280" w:firstLine="586"/>
        <w:spacing w:after="0" w:line="263" w:lineRule="auto"/>
        <w:rPr>
          <w:sz w:val="20"/>
          <w:szCs w:val="20"/>
          <w:color w:val="auto"/>
        </w:rPr>
      </w:pPr>
      <w:r>
        <w:rPr>
          <w:rFonts w:ascii="Arial" w:cs="Arial" w:eastAsia="Arial" w:hAnsi="Arial"/>
          <w:sz w:val="18"/>
          <w:szCs w:val="18"/>
          <w:color w:val="auto"/>
        </w:rPr>
        <w:t>The Plan and this Sub-Plan are complementary to each other and shall be deemed as one. In any case of contradiction with respect to awards granted to Eligible Employees, whether explicit or implied, between the provisions of this Sub-Plan and the Plan, the provisions set out in the Sub-Plan shall prevail.</w:t>
      </w:r>
    </w:p>
    <w:p>
      <w:pPr>
        <w:spacing w:after="0" w:line="184" w:lineRule="exact"/>
        <w:rPr>
          <w:sz w:val="20"/>
          <w:szCs w:val="20"/>
          <w:color w:val="auto"/>
        </w:rPr>
      </w:pPr>
    </w:p>
    <w:p>
      <w:pPr>
        <w:ind w:left="780" w:hanging="186"/>
        <w:spacing w:after="0"/>
        <w:tabs>
          <w:tab w:leader="none" w:pos="78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Notifications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0" w:firstLine="1329"/>
        <w:spacing w:after="0" w:line="277" w:lineRule="auto"/>
        <w:tabs>
          <w:tab w:leader="none" w:pos="1565" w:val="left"/>
        </w:tabs>
        <w:numPr>
          <w:ilvl w:val="1"/>
          <w:numId w:val="109"/>
        </w:numPr>
        <w:rPr>
          <w:rFonts w:ascii="Arial" w:cs="Arial" w:eastAsia="Arial" w:hAnsi="Arial"/>
          <w:sz w:val="18"/>
          <w:szCs w:val="18"/>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Korean residents who realize certain amounts from the sale of shares must repatriate the proceeds to Korea within three years of the sale or receipt.</w:t>
      </w:r>
    </w:p>
    <w:p>
      <w:pPr>
        <w:spacing w:after="0" w:line="170" w:lineRule="exact"/>
        <w:rPr>
          <w:rFonts w:ascii="Arial" w:cs="Arial" w:eastAsia="Arial" w:hAnsi="Arial"/>
          <w:sz w:val="18"/>
          <w:szCs w:val="18"/>
          <w:color w:val="auto"/>
        </w:rPr>
      </w:pPr>
    </w:p>
    <w:p>
      <w:pPr>
        <w:ind w:right="200" w:firstLine="1329"/>
        <w:spacing w:after="0" w:line="259" w:lineRule="auto"/>
        <w:tabs>
          <w:tab w:leader="none" w:pos="1575" w:val="left"/>
        </w:tabs>
        <w:numPr>
          <w:ilvl w:val="1"/>
          <w:numId w:val="109"/>
        </w:numPr>
        <w:rPr>
          <w:rFonts w:ascii="Arial" w:cs="Arial" w:eastAsia="Arial" w:hAnsi="Arial"/>
          <w:sz w:val="18"/>
          <w:szCs w:val="18"/>
          <w:color w:val="auto"/>
        </w:rPr>
      </w:pPr>
      <w:r>
        <w:rPr>
          <w:rFonts w:ascii="Arial" w:cs="Arial" w:eastAsia="Arial" w:hAnsi="Arial"/>
          <w:sz w:val="18"/>
          <w:szCs w:val="18"/>
          <w:u w:val="single" w:color="auto"/>
          <w:color w:val="auto"/>
        </w:rPr>
        <w:t>Foreign Asset/Account Reporting Information</w:t>
      </w:r>
      <w:r>
        <w:rPr>
          <w:rFonts w:ascii="Arial" w:cs="Arial" w:eastAsia="Arial" w:hAnsi="Arial"/>
          <w:sz w:val="18"/>
          <w:szCs w:val="18"/>
          <w:color w:val="auto"/>
        </w:rPr>
        <w:t>. Korean residents must declare all foreign financial accounts (</w:t>
      </w:r>
      <w:r>
        <w:rPr>
          <w:rFonts w:ascii="Arial" w:cs="Arial" w:eastAsia="Arial" w:hAnsi="Arial"/>
          <w:sz w:val="18"/>
          <w:szCs w:val="18"/>
          <w:i w:val="1"/>
          <w:iCs w:val="1"/>
          <w:color w:val="auto"/>
        </w:rPr>
        <w:t>i.e.</w:t>
      </w:r>
      <w:r>
        <w:rPr>
          <w:rFonts w:ascii="Arial" w:cs="Arial" w:eastAsia="Arial" w:hAnsi="Arial"/>
          <w:sz w:val="18"/>
          <w:szCs w:val="18"/>
          <w:color w:val="auto"/>
        </w:rPr>
        <w:t>, non-Korean bank accounts, brokerage accounts, etc.) to the Korean tax authority and file a report with respect to such accounts if the monthly balance of such accounts exceeds a certain threshold on any month-end during a calendar year. An Eligible Employee should consult with his or her personal tax advisor to determine his or her personal reporting obligations.</w:t>
      </w:r>
    </w:p>
    <w:p>
      <w:pPr>
        <w:spacing w:after="0" w:line="186" w:lineRule="exact"/>
        <w:rPr>
          <w:rFonts w:ascii="Arial" w:cs="Arial" w:eastAsia="Arial" w:hAnsi="Arial"/>
          <w:sz w:val="18"/>
          <w:szCs w:val="18"/>
          <w:color w:val="auto"/>
        </w:rPr>
      </w:pPr>
    </w:p>
    <w:p>
      <w:pPr>
        <w:ind w:firstLine="594"/>
        <w:spacing w:after="0" w:line="342" w:lineRule="auto"/>
        <w:tabs>
          <w:tab w:leader="none" w:pos="766"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The validity and enforceability of this Sub-Plan shall be governed by, and construed in accordance with, the laws of the State of Delaware without regard to otherwise governing principles of conflicts of law, except to the extent that mandatory provisions of the laws of Korea.</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13" w:right="399" w:bottom="1440" w:gutter="0" w:footer="0" w:header="0"/>
        </w:sectPr>
      </w:pPr>
    </w:p>
    <w:bookmarkStart w:id="137" w:name="page138"/>
    <w:bookmarkEnd w:id="137"/>
    <w:p>
      <w:pPr>
        <w:jc w:val="center"/>
        <w:ind w:right="19"/>
        <w:spacing w:after="0"/>
        <w:rPr>
          <w:sz w:val="20"/>
          <w:szCs w:val="20"/>
          <w:color w:val="auto"/>
        </w:rPr>
      </w:pPr>
      <w:r>
        <w:rPr>
          <w:rFonts w:ascii="Arial" w:cs="Arial" w:eastAsia="Arial" w:hAnsi="Arial"/>
          <w:sz w:val="18"/>
          <w:szCs w:val="18"/>
          <w:b w:val="1"/>
          <w:bCs w:val="1"/>
          <w:color w:val="auto"/>
        </w:rPr>
        <w:t>[CORSAIR GAMING,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2020 EMPLOYEE STOCK PURCHASE PLAN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SUB-PLAN FOR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INTERNATIONAL PARTICIPANTS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SWEDEN]</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4946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8" w:name="page139"/>
    <w:bookmarkEnd w:id="138"/>
    <w:p>
      <w:pPr>
        <w:jc w:val="center"/>
        <w:ind w:right="-19"/>
        <w:spacing w:after="0"/>
        <w:rPr>
          <w:sz w:val="20"/>
          <w:szCs w:val="20"/>
          <w:color w:val="auto"/>
        </w:rPr>
      </w:pPr>
      <w:r>
        <w:rPr>
          <w:rFonts w:ascii="Arial" w:cs="Arial" w:eastAsia="Arial" w:hAnsi="Arial"/>
          <w:sz w:val="18"/>
          <w:szCs w:val="18"/>
          <w:b w:val="1"/>
          <w:bCs w:val="1"/>
          <w:color w:val="auto"/>
        </w:rPr>
        <w:t>CORSAIR GAMING,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2020 EMPLOYEE STOCK PURCHASE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SUB-PLAN FOR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INTERNATIONAL PARTICIPANTS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TAIWAN</w:t>
      </w:r>
    </w:p>
    <w:p>
      <w:pPr>
        <w:spacing w:after="0" w:line="225" w:lineRule="exact"/>
        <w:rPr>
          <w:sz w:val="20"/>
          <w:szCs w:val="20"/>
          <w:color w:val="auto"/>
        </w:rPr>
      </w:pPr>
    </w:p>
    <w:p>
      <w:pPr>
        <w:ind w:right="80" w:firstLine="594"/>
        <w:spacing w:after="0" w:line="274" w:lineRule="auto"/>
        <w:tabs>
          <w:tab w:leader="none" w:pos="766" w:val="left"/>
        </w:tabs>
        <w:numPr>
          <w:ilvl w:val="0"/>
          <w:numId w:val="110"/>
        </w:numPr>
        <w:rPr>
          <w:rFonts w:ascii="Arial" w:cs="Arial" w:eastAsia="Arial" w:hAnsi="Arial"/>
          <w:sz w:val="17"/>
          <w:szCs w:val="17"/>
          <w:color w:val="auto"/>
        </w:rPr>
      </w:pPr>
      <w:r>
        <w:rPr>
          <w:rFonts w:ascii="Arial" w:cs="Arial" w:eastAsia="Arial" w:hAnsi="Arial"/>
          <w:sz w:val="17"/>
          <w:szCs w:val="17"/>
          <w:u w:val="single" w:color="auto"/>
          <w:color w:val="auto"/>
        </w:rPr>
        <w:t>Application</w:t>
      </w:r>
      <w:r>
        <w:rPr>
          <w:rFonts w:ascii="Arial" w:cs="Arial" w:eastAsia="Arial" w:hAnsi="Arial"/>
          <w:sz w:val="17"/>
          <w:szCs w:val="17"/>
          <w:color w:val="auto"/>
        </w:rPr>
        <w:t>. This Sub-Plan for Taiwanese participants in the Corsair Gaming, Inc</w:t>
      </w:r>
      <w:r>
        <w:rPr>
          <w:rFonts w:ascii="Arial" w:cs="Arial" w:eastAsia="Arial" w:hAnsi="Arial"/>
          <w:sz w:val="17"/>
          <w:szCs w:val="17"/>
          <w:b w:val="1"/>
          <w:bCs w:val="1"/>
          <w:color w:val="auto"/>
        </w:rPr>
        <w:t>.</w:t>
      </w:r>
      <w:r>
        <w:rPr>
          <w:rFonts w:ascii="Arial" w:cs="Arial" w:eastAsia="Arial" w:hAnsi="Arial"/>
          <w:sz w:val="17"/>
          <w:szCs w:val="17"/>
          <w:color w:val="auto"/>
        </w:rPr>
        <w:t xml:space="preserve"> Employee Stock Purchase Plan (this “</w:t>
      </w:r>
      <w:r>
        <w:rPr>
          <w:rFonts w:ascii="Arial" w:cs="Arial" w:eastAsia="Arial" w:hAnsi="Arial"/>
          <w:sz w:val="17"/>
          <w:szCs w:val="17"/>
          <w:u w:val="single" w:color="auto"/>
          <w:color w:val="auto"/>
        </w:rPr>
        <w:t>Sub-Plan</w:t>
      </w:r>
      <w:r>
        <w:rPr>
          <w:rFonts w:ascii="Arial" w:cs="Arial" w:eastAsia="Arial" w:hAnsi="Arial"/>
          <w:sz w:val="17"/>
          <w:szCs w:val="17"/>
          <w:color w:val="auto"/>
        </w:rPr>
        <w:t>”) sets forth additional terms and conditions applicable to awards granted to Eligible Employees who are (or are deemed to be) residents of Taiwan for the purpose of payment of taxes and forms an integral part of the Corsair Gaming, Inc</w:t>
      </w:r>
      <w:r>
        <w:rPr>
          <w:rFonts w:ascii="Arial" w:cs="Arial" w:eastAsia="Arial" w:hAnsi="Arial"/>
          <w:sz w:val="17"/>
          <w:szCs w:val="17"/>
          <w:b w:val="1"/>
          <w:bCs w:val="1"/>
          <w:color w:val="auto"/>
        </w:rPr>
        <w:t>.</w:t>
      </w:r>
      <w:r>
        <w:rPr>
          <w:rFonts w:ascii="Arial" w:cs="Arial" w:eastAsia="Arial" w:hAnsi="Arial"/>
          <w:sz w:val="17"/>
          <w:szCs w:val="17"/>
          <w:color w:val="auto"/>
        </w:rPr>
        <w:t xml:space="preserve"> Employee Stock Purchase Plan (the “</w:t>
      </w:r>
      <w:r>
        <w:rPr>
          <w:rFonts w:ascii="Arial" w:cs="Arial" w:eastAsia="Arial" w:hAnsi="Arial"/>
          <w:sz w:val="17"/>
          <w:szCs w:val="17"/>
          <w:u w:val="single" w:color="auto"/>
          <w:color w:val="auto"/>
        </w:rPr>
        <w:t>Plan</w:t>
      </w:r>
      <w:r>
        <w:rPr>
          <w:rFonts w:ascii="Arial" w:cs="Arial" w:eastAsia="Arial" w:hAnsi="Arial"/>
          <w:sz w:val="17"/>
          <w:szCs w:val="17"/>
          <w:color w:val="auto"/>
        </w:rPr>
        <w:t>”). The Plan and this Sub-Plan are complimentary to each other and shall be deemed as one. In any case of contradiction with respect to awards granted to Eligible Employees, whether explicit or implied, between the provisions of this Sub-Plan and the Plan, the provisions set out in the Sub-Plan shall prevail. Any capitalized terms used in this Sub-Plan but not defined shall have the meaning given to those terms in the Plan.</w:t>
      </w:r>
    </w:p>
    <w:p>
      <w:pPr>
        <w:spacing w:after="0" w:line="177" w:lineRule="exact"/>
        <w:rPr>
          <w:rFonts w:ascii="Arial" w:cs="Arial" w:eastAsia="Arial" w:hAnsi="Arial"/>
          <w:sz w:val="17"/>
          <w:szCs w:val="17"/>
          <w:color w:val="auto"/>
        </w:rPr>
      </w:pPr>
    </w:p>
    <w:p>
      <w:pPr>
        <w:ind w:left="780" w:hanging="186"/>
        <w:spacing w:after="0"/>
        <w:tabs>
          <w:tab w:leader="none" w:pos="780"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Data Protection</w:t>
      </w:r>
      <w:r>
        <w:rPr>
          <w:rFonts w:ascii="Arial" w:cs="Arial" w:eastAsia="Arial" w:hAnsi="Arial"/>
          <w:sz w:val="16"/>
          <w:szCs w:val="16"/>
          <w:color w:val="auto"/>
        </w:rPr>
        <w:t>. It shall be a term and condition of each award granted under this Sub-Plan that the Eligible Employee agrees and consents to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following:</w:t>
      </w:r>
    </w:p>
    <w:p>
      <w:pPr>
        <w:spacing w:after="0" w:line="210" w:lineRule="exact"/>
        <w:rPr>
          <w:rFonts w:ascii="Arial" w:cs="Arial" w:eastAsia="Arial" w:hAnsi="Arial"/>
          <w:sz w:val="16"/>
          <w:szCs w:val="16"/>
          <w:color w:val="auto"/>
        </w:rPr>
      </w:pPr>
    </w:p>
    <w:p>
      <w:pPr>
        <w:ind w:right="100" w:firstLine="1329"/>
        <w:spacing w:after="0" w:line="263" w:lineRule="auto"/>
        <w:tabs>
          <w:tab w:leader="none" w:pos="1565"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collection, receipt, use, retention and transfer, in electronic or other form, of his or her personal data by and among the Company, its Parent, its Subsidiaries, affiliates and third party vendors for the exclusive purpose of implementing, administering and managing the Eligible Employee’s awards under the Plan and the acquisition of shares of Common Stock pursuant to the Plan;</w:t>
      </w:r>
    </w:p>
    <w:p>
      <w:pPr>
        <w:spacing w:after="0" w:line="183" w:lineRule="exact"/>
        <w:rPr>
          <w:rFonts w:ascii="Arial" w:cs="Arial" w:eastAsia="Arial" w:hAnsi="Arial"/>
          <w:sz w:val="18"/>
          <w:szCs w:val="18"/>
          <w:color w:val="auto"/>
        </w:rPr>
      </w:pPr>
    </w:p>
    <w:p>
      <w:pPr>
        <w:ind w:right="200" w:firstLine="1329"/>
        <w:spacing w:after="0" w:line="275" w:lineRule="auto"/>
        <w:tabs>
          <w:tab w:leader="none" w:pos="1575" w:val="left"/>
        </w:tabs>
        <w:numPr>
          <w:ilvl w:val="1"/>
          <w:numId w:val="110"/>
        </w:numPr>
        <w:rPr>
          <w:rFonts w:ascii="Arial" w:cs="Arial" w:eastAsia="Arial" w:hAnsi="Arial"/>
          <w:sz w:val="17"/>
          <w:szCs w:val="17"/>
          <w:color w:val="auto"/>
        </w:rPr>
      </w:pPr>
      <w:r>
        <w:rPr>
          <w:rFonts w:ascii="Arial" w:cs="Arial" w:eastAsia="Arial" w:hAnsi="Arial"/>
          <w:sz w:val="17"/>
          <w:szCs w:val="17"/>
          <w:color w:val="auto"/>
        </w:rPr>
        <w:t>that the Eligible Employee’s personal data, including but not limited to, name, home address, telephone number, employee number, employment status, social security number, tax identification number, job and payroll location, data for tax withholding purposes and stocks awarded, cancelled, exercised, vested and unvested may be transferred to third parties assisting in the implementation, administration and management of the Eligible Employee’s awards under the Plan and the acquisition of shares of Common Stock pursuant to the Plan and the Eligible Employee expressly authorizes such transfer as well as the retention, use, and the subsequent transfer of the data by the recipient(s);</w:t>
      </w:r>
    </w:p>
    <w:p>
      <w:pPr>
        <w:spacing w:after="0" w:line="176" w:lineRule="exact"/>
        <w:rPr>
          <w:rFonts w:ascii="Arial" w:cs="Arial" w:eastAsia="Arial" w:hAnsi="Arial"/>
          <w:sz w:val="17"/>
          <w:szCs w:val="17"/>
          <w:color w:val="auto"/>
        </w:rPr>
      </w:pPr>
    </w:p>
    <w:p>
      <w:pPr>
        <w:ind w:right="540" w:firstLine="1329"/>
        <w:spacing w:after="0" w:line="277" w:lineRule="auto"/>
        <w:tabs>
          <w:tab w:leader="none" w:pos="1565"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that the recipients of the foregoing information may be located in the Employee’s country or elsewhere, and that the recipient’s country may have different data privacy laws and protections than the Employee’s country;</w:t>
      </w:r>
    </w:p>
    <w:p>
      <w:pPr>
        <w:spacing w:after="0" w:line="170" w:lineRule="exact"/>
        <w:rPr>
          <w:rFonts w:ascii="Arial" w:cs="Arial" w:eastAsia="Arial" w:hAnsi="Arial"/>
          <w:sz w:val="18"/>
          <w:szCs w:val="18"/>
          <w:color w:val="auto"/>
        </w:rPr>
      </w:pPr>
    </w:p>
    <w:p>
      <w:pPr>
        <w:ind w:right="320" w:firstLine="1329"/>
        <w:spacing w:after="0" w:line="277" w:lineRule="auto"/>
        <w:tabs>
          <w:tab w:leader="none" w:pos="1575"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that data will be held only as long as is necessary to implement, administer and manage the Eligible Employee’s awards under the Plan and the acquisition of shares of Common Stock pursuant to the Plan;</w:t>
      </w:r>
    </w:p>
    <w:p>
      <w:pPr>
        <w:spacing w:after="0" w:line="170" w:lineRule="exact"/>
        <w:rPr>
          <w:rFonts w:ascii="Arial" w:cs="Arial" w:eastAsia="Arial" w:hAnsi="Arial"/>
          <w:sz w:val="18"/>
          <w:szCs w:val="18"/>
          <w:color w:val="auto"/>
        </w:rPr>
      </w:pPr>
    </w:p>
    <w:p>
      <w:pPr>
        <w:ind w:right="220" w:firstLine="1329"/>
        <w:spacing w:after="0" w:line="311" w:lineRule="auto"/>
        <w:tabs>
          <w:tab w:leader="none" w:pos="1565" w:val="left"/>
        </w:tabs>
        <w:numPr>
          <w:ilvl w:val="1"/>
          <w:numId w:val="110"/>
        </w:numPr>
        <w:rPr>
          <w:rFonts w:ascii="Arial" w:cs="Arial" w:eastAsia="Arial" w:hAnsi="Arial"/>
          <w:sz w:val="16"/>
          <w:szCs w:val="16"/>
          <w:color w:val="auto"/>
        </w:rPr>
      </w:pPr>
      <w:r>
        <w:rPr>
          <w:rFonts w:ascii="Arial" w:cs="Arial" w:eastAsia="Arial" w:hAnsi="Arial"/>
          <w:sz w:val="16"/>
          <w:szCs w:val="16"/>
          <w:color w:val="auto"/>
        </w:rPr>
        <w:t>that the Eligible Employee may, at any time, request a list with the names and addresses of any potential recipients of the personal data, view data, request additional information about the storage and processing of data, require any necessary amendments to data or refuse or withdraw the consents herein, in any case without cost, by contacting in writing the Company’s local legal or human resources department representative; and</w:t>
      </w:r>
    </w:p>
    <w:p>
      <w:pPr>
        <w:spacing w:after="0" w:line="148" w:lineRule="exact"/>
        <w:rPr>
          <w:rFonts w:ascii="Arial" w:cs="Arial" w:eastAsia="Arial" w:hAnsi="Arial"/>
          <w:sz w:val="16"/>
          <w:szCs w:val="16"/>
          <w:color w:val="auto"/>
        </w:rPr>
      </w:pPr>
    </w:p>
    <w:p>
      <w:pPr>
        <w:ind w:left="1560" w:hanging="231"/>
        <w:spacing w:after="0"/>
        <w:tabs>
          <w:tab w:leader="none" w:pos="156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that refusing or withdrawing his or her consent may affect his or her ability to accept an award under the Plan.</w:t>
      </w:r>
    </w:p>
    <w:p>
      <w:pPr>
        <w:spacing w:after="0" w:line="225" w:lineRule="exact"/>
        <w:rPr>
          <w:sz w:val="20"/>
          <w:szCs w:val="20"/>
          <w:color w:val="auto"/>
        </w:rPr>
      </w:pPr>
    </w:p>
    <w:p>
      <w:pPr>
        <w:ind w:firstLine="1321"/>
        <w:spacing w:after="0" w:line="277" w:lineRule="auto"/>
        <w:rPr>
          <w:sz w:val="20"/>
          <w:szCs w:val="20"/>
          <w:color w:val="auto"/>
        </w:rPr>
      </w:pPr>
      <w:r>
        <w:rPr>
          <w:rFonts w:ascii="Arial" w:cs="Arial" w:eastAsia="Arial" w:hAnsi="Arial"/>
          <w:sz w:val="18"/>
          <w:szCs w:val="18"/>
          <w:color w:val="auto"/>
        </w:rPr>
        <w:t>For more information on the consequences of the Eligible Employee’s refusal to consent or withdrawal of consent, the Eligible Employee may contact the Company’s local legal or human resources department representative.</w:t>
      </w:r>
    </w:p>
    <w:p>
      <w:pPr>
        <w:spacing w:after="0" w:line="170" w:lineRule="exact"/>
        <w:rPr>
          <w:sz w:val="20"/>
          <w:szCs w:val="20"/>
          <w:color w:val="auto"/>
        </w:rPr>
      </w:pPr>
    </w:p>
    <w:p>
      <w:pPr>
        <w:ind w:left="5800" w:right="4620" w:hanging="5206"/>
        <w:spacing w:after="0" w:line="573" w:lineRule="auto"/>
        <w:tabs>
          <w:tab w:leader="none" w:pos="779" w:val="left"/>
        </w:tabs>
        <w:numPr>
          <w:ilvl w:val="0"/>
          <w:numId w:val="111"/>
        </w:numPr>
        <w:rPr>
          <w:rFonts w:ascii="Arial" w:cs="Arial" w:eastAsia="Arial" w:hAnsi="Arial"/>
          <w:sz w:val="17"/>
          <w:szCs w:val="17"/>
          <w:color w:val="auto"/>
        </w:rPr>
      </w:pPr>
      <w:r>
        <w:rPr>
          <w:rFonts w:ascii="Arial" w:cs="Arial" w:eastAsia="Arial" w:hAnsi="Arial"/>
          <w:sz w:val="17"/>
          <w:szCs w:val="17"/>
          <w:u w:val="single" w:color="auto"/>
          <w:color w:val="auto"/>
        </w:rPr>
        <w:t>Not a Contract of Employment.</w:t>
      </w:r>
      <w:r>
        <w:rPr>
          <w:rFonts w:ascii="Arial" w:cs="Arial" w:eastAsia="Arial" w:hAnsi="Arial"/>
          <w:sz w:val="17"/>
          <w:szCs w:val="17"/>
          <w:color w:val="auto"/>
        </w:rPr>
        <w:t xml:space="preserve"> Notwithstanding any other provision of the Plan: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4946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39" w:name="page140"/>
    <w:bookmarkEnd w:id="139"/>
    <w:p>
      <w:pPr>
        <w:ind w:left="1320"/>
        <w:spacing w:after="0"/>
        <w:rPr>
          <w:sz w:val="20"/>
          <w:szCs w:val="20"/>
          <w:color w:val="auto"/>
        </w:rPr>
      </w:pPr>
      <w:r>
        <w:rPr>
          <w:rFonts w:ascii="Arial" w:cs="Arial" w:eastAsia="Arial" w:hAnsi="Arial"/>
          <w:sz w:val="17"/>
          <w:szCs w:val="17"/>
          <w:color w:val="auto"/>
        </w:rPr>
        <w:t>(a) the Plan shall not form part of any contract of employment between the Company or any Parent or Subsidiary and an Eligible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Employee;</w:t>
      </w:r>
    </w:p>
    <w:p>
      <w:pPr>
        <w:spacing w:after="0" w:line="211" w:lineRule="exact"/>
        <w:rPr>
          <w:sz w:val="20"/>
          <w:szCs w:val="20"/>
          <w:color w:val="auto"/>
        </w:rPr>
      </w:pPr>
    </w:p>
    <w:p>
      <w:pPr>
        <w:ind w:right="120" w:firstLine="1329"/>
        <w:spacing w:after="0" w:line="277" w:lineRule="auto"/>
        <w:tabs>
          <w:tab w:leader="none" w:pos="1575" w:val="left"/>
        </w:tabs>
        <w:numPr>
          <w:ilvl w:val="1"/>
          <w:numId w:val="112"/>
        </w:numPr>
        <w:rPr>
          <w:rFonts w:ascii="Arial" w:cs="Arial" w:eastAsia="Arial" w:hAnsi="Arial"/>
          <w:sz w:val="18"/>
          <w:szCs w:val="18"/>
          <w:color w:val="auto"/>
        </w:rPr>
      </w:pPr>
      <w:r>
        <w:rPr>
          <w:rFonts w:ascii="Arial" w:cs="Arial" w:eastAsia="Arial" w:hAnsi="Arial"/>
          <w:sz w:val="18"/>
          <w:szCs w:val="18"/>
          <w:color w:val="auto"/>
        </w:rPr>
        <w:t>unless expressly so provided in his or her contract of employment, an Eligible Employee has no right or entitlement to be granted an award or any expectation that an award might be made to him, whether subject to any conditions or at all;</w:t>
      </w:r>
    </w:p>
    <w:p>
      <w:pPr>
        <w:spacing w:after="0" w:line="170" w:lineRule="exact"/>
        <w:rPr>
          <w:rFonts w:ascii="Arial" w:cs="Arial" w:eastAsia="Arial" w:hAnsi="Arial"/>
          <w:sz w:val="18"/>
          <w:szCs w:val="18"/>
          <w:color w:val="auto"/>
        </w:rPr>
      </w:pPr>
    </w:p>
    <w:p>
      <w:pPr>
        <w:ind w:left="1580" w:hanging="251"/>
        <w:spacing w:after="0"/>
        <w:tabs>
          <w:tab w:leader="none" w:pos="15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value of the awards under the Plan are outside the scope of an Eligible Employee’s employment contract, if any;</w:t>
      </w:r>
    </w:p>
    <w:p>
      <w:pPr>
        <w:spacing w:after="0" w:line="225" w:lineRule="exact"/>
        <w:rPr>
          <w:rFonts w:ascii="Arial" w:cs="Arial" w:eastAsia="Arial" w:hAnsi="Arial"/>
          <w:sz w:val="18"/>
          <w:szCs w:val="18"/>
          <w:color w:val="auto"/>
        </w:rPr>
      </w:pPr>
    </w:p>
    <w:p>
      <w:pPr>
        <w:ind w:right="300" w:firstLine="1329"/>
        <w:spacing w:after="0" w:line="308" w:lineRule="auto"/>
        <w:tabs>
          <w:tab w:leader="none" w:pos="1575" w:val="left"/>
        </w:tabs>
        <w:numPr>
          <w:ilvl w:val="1"/>
          <w:numId w:val="112"/>
        </w:numPr>
        <w:rPr>
          <w:rFonts w:ascii="Arial" w:cs="Arial" w:eastAsia="Arial" w:hAnsi="Arial"/>
          <w:sz w:val="17"/>
          <w:szCs w:val="17"/>
          <w:color w:val="auto"/>
        </w:rPr>
      </w:pPr>
      <w:r>
        <w:rPr>
          <w:rFonts w:ascii="Arial" w:cs="Arial" w:eastAsia="Arial" w:hAnsi="Arial"/>
          <w:sz w:val="17"/>
          <w:szCs w:val="17"/>
          <w:color w:val="auto"/>
        </w:rPr>
        <w:t>the value of the awards under the Plan are not part of normal or expected compensation for purposes of calculating any severance, resignation, redundancy, end of service payments, bonuses, long-service awards, pension or retirement benefits or similar payments;</w:t>
      </w:r>
    </w:p>
    <w:p>
      <w:pPr>
        <w:spacing w:after="0" w:line="146" w:lineRule="exact"/>
        <w:rPr>
          <w:rFonts w:ascii="Arial" w:cs="Arial" w:eastAsia="Arial" w:hAnsi="Arial"/>
          <w:sz w:val="17"/>
          <w:szCs w:val="17"/>
          <w:color w:val="auto"/>
        </w:rPr>
      </w:pPr>
    </w:p>
    <w:p>
      <w:pPr>
        <w:ind w:right="140" w:firstLine="1329"/>
        <w:spacing w:after="0" w:line="263" w:lineRule="auto"/>
        <w:tabs>
          <w:tab w:leader="none" w:pos="1565" w:val="left"/>
        </w:tabs>
        <w:numPr>
          <w:ilvl w:val="1"/>
          <w:numId w:val="112"/>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arises if the awards under the Plan or the Common Stock issued pursuant to the Plan do not increase in value and each Eligible Employee irrevocably releases the Company, its Parent, its Subsidiaries, affiliates and third party vendors from any such claim that does arise;</w:t>
      </w:r>
    </w:p>
    <w:p>
      <w:pPr>
        <w:spacing w:after="0" w:line="183" w:lineRule="exact"/>
        <w:rPr>
          <w:rFonts w:ascii="Arial" w:cs="Arial" w:eastAsia="Arial" w:hAnsi="Arial"/>
          <w:sz w:val="18"/>
          <w:szCs w:val="18"/>
          <w:color w:val="auto"/>
        </w:rPr>
      </w:pPr>
    </w:p>
    <w:p>
      <w:pPr>
        <w:ind w:right="160" w:firstLine="1329"/>
        <w:spacing w:after="0" w:line="275" w:lineRule="auto"/>
        <w:tabs>
          <w:tab w:leader="none" w:pos="1545" w:val="left"/>
        </w:tabs>
        <w:numPr>
          <w:ilvl w:val="1"/>
          <w:numId w:val="112"/>
        </w:numPr>
        <w:rPr>
          <w:rFonts w:ascii="Arial" w:cs="Arial" w:eastAsia="Arial" w:hAnsi="Arial"/>
          <w:sz w:val="17"/>
          <w:szCs w:val="17"/>
          <w:color w:val="auto"/>
        </w:rPr>
      </w:pPr>
      <w:r>
        <w:rPr>
          <w:rFonts w:ascii="Arial" w:cs="Arial" w:eastAsia="Arial" w:hAnsi="Arial"/>
          <w:sz w:val="17"/>
          <w:szCs w:val="17"/>
          <w:color w:val="auto"/>
        </w:rPr>
        <w:t>the rights or opportunity granted to an Eligible Employee on the making of an award shall not give the Eligible Employee any rights or additional rights and if an Eligible Employee ceases to be employed by the Company or any Parent or Subsidiary, the Eligible Employee shall not be entitled to compensation for the loss of any right or benefit or prospective right or benefit under the Plan (including, in particular but not by way of limitation, any awards held by him or her which lapse by reason of his ceasing to be employed by the Company or any Parent or Subsidiary) whether by way of damages for unfair dismissal, wrongful dismissal, breach of contract or otherwise;</w:t>
      </w:r>
    </w:p>
    <w:p>
      <w:pPr>
        <w:spacing w:after="0" w:line="176" w:lineRule="exact"/>
        <w:rPr>
          <w:rFonts w:ascii="Arial" w:cs="Arial" w:eastAsia="Arial" w:hAnsi="Arial"/>
          <w:sz w:val="17"/>
          <w:szCs w:val="17"/>
          <w:color w:val="auto"/>
        </w:rPr>
      </w:pPr>
    </w:p>
    <w:p>
      <w:pPr>
        <w:ind w:firstLine="1329"/>
        <w:spacing w:after="0" w:line="259" w:lineRule="auto"/>
        <w:tabs>
          <w:tab w:leader="none" w:pos="1575"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Eligible Employee shall not be entitled to any compensation or damages for any loss or potential loss which he may suffer by reason of being unable to acquire or retain shares of Common Stock, or any interest in shares of Common Stock pursuant to an award in consequence of the loss or termination of his office or employment with the Company or any present or past Parent or Subsidiary for any reason whatsoever (whether or not the termination is ultimately held to be wrongful or unfair);</w:t>
      </w:r>
    </w:p>
    <w:p>
      <w:pPr>
        <w:spacing w:after="0" w:line="186" w:lineRule="exact"/>
        <w:rPr>
          <w:rFonts w:ascii="Arial" w:cs="Arial" w:eastAsia="Arial" w:hAnsi="Arial"/>
          <w:sz w:val="18"/>
          <w:szCs w:val="18"/>
          <w:color w:val="auto"/>
        </w:rPr>
      </w:pPr>
    </w:p>
    <w:p>
      <w:pPr>
        <w:ind w:right="140" w:firstLine="1329"/>
        <w:spacing w:after="0" w:line="277" w:lineRule="auto"/>
        <w:tabs>
          <w:tab w:leader="none" w:pos="1575"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rights of the Eligible Employee under the Plan and any agreement in connection therewith is between the Eligible Employee and the Company, and the Eligible Employee’s local employer is not a party to such agreements; and</w:t>
      </w:r>
    </w:p>
    <w:p>
      <w:pPr>
        <w:spacing w:after="0" w:line="170" w:lineRule="exact"/>
        <w:rPr>
          <w:rFonts w:ascii="Arial" w:cs="Arial" w:eastAsia="Arial" w:hAnsi="Arial"/>
          <w:sz w:val="18"/>
          <w:szCs w:val="18"/>
          <w:color w:val="auto"/>
        </w:rPr>
      </w:pPr>
    </w:p>
    <w:p>
      <w:pPr>
        <w:ind w:left="1540" w:hanging="211"/>
        <w:spacing w:after="0"/>
        <w:tabs>
          <w:tab w:leader="none" w:pos="154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by accepting the grant of an award and not renouncing it, the Eligible Employee is deemed to have agreed to the provisions of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3.</w:t>
      </w:r>
    </w:p>
    <w:p>
      <w:pPr>
        <w:spacing w:after="0" w:line="210" w:lineRule="exact"/>
        <w:rPr>
          <w:rFonts w:ascii="Arial" w:cs="Arial" w:eastAsia="Arial" w:hAnsi="Arial"/>
          <w:sz w:val="16"/>
          <w:szCs w:val="16"/>
          <w:color w:val="auto"/>
        </w:rPr>
      </w:pPr>
    </w:p>
    <w:p>
      <w:pPr>
        <w:ind w:left="780" w:hanging="186"/>
        <w:spacing w:after="0"/>
        <w:tabs>
          <w:tab w:leader="none" w:pos="78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Tax Consequences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0" w:firstLine="1329"/>
        <w:spacing w:after="0" w:line="259" w:lineRule="auto"/>
        <w:tabs>
          <w:tab w:leader="none" w:pos="1565"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Eligible Employee agrees to indemnify and keep indemnified the Company, its Parents and any Subsidiaries from and against any liability for or obligation to pay any tax liability that is attributable to: (i) the grant or exercise of an award under this Sub-Plan; (ii) the acquisition by the Eligible Employee of shares of Common Stock pursuant to the exercise of an award under this Sub-Plan; or (iii) the disposal of any shares of Common Stock (a “</w:t>
      </w:r>
      <w:r>
        <w:rPr>
          <w:rFonts w:ascii="Arial" w:cs="Arial" w:eastAsia="Arial" w:hAnsi="Arial"/>
          <w:sz w:val="18"/>
          <w:szCs w:val="18"/>
          <w:u w:val="single" w:color="auto"/>
          <w:color w:val="auto"/>
        </w:rPr>
        <w:t>Tax Liability</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60" w:firstLine="1329"/>
        <w:spacing w:after="0" w:line="296" w:lineRule="auto"/>
        <w:tabs>
          <w:tab w:leader="none" w:pos="1575" w:val="left"/>
        </w:tabs>
        <w:numPr>
          <w:ilvl w:val="1"/>
          <w:numId w:val="113"/>
        </w:numPr>
        <w:rPr>
          <w:rFonts w:ascii="Arial" w:cs="Arial" w:eastAsia="Arial" w:hAnsi="Arial"/>
          <w:sz w:val="16"/>
          <w:szCs w:val="16"/>
          <w:color w:val="auto"/>
        </w:rPr>
      </w:pPr>
      <w:r>
        <w:rPr>
          <w:rFonts w:ascii="Arial" w:cs="Arial" w:eastAsia="Arial" w:hAnsi="Arial"/>
          <w:sz w:val="16"/>
          <w:szCs w:val="16"/>
          <w:color w:val="auto"/>
        </w:rPr>
        <w:t>Without prejudice to the terms of the Plan, an award under this Sub-Plan cannot be exercised, and no shares of Common Stock may be purchased with respect thereto, until the Eligible Employee has made such arrangements as the Company may require for the satisfaction of any Tax Liability that may arise in connection with the exercise of the award and/or the acquisition of the shares of Common Stock by the Eligible Employee. Where any Tax Liability is likely to arise, the Company, the Company or the Eligible Employee’s employer (the “</w:t>
      </w:r>
      <w:r>
        <w:rPr>
          <w:rFonts w:ascii="Arial" w:cs="Arial" w:eastAsia="Arial" w:hAnsi="Arial"/>
          <w:sz w:val="16"/>
          <w:szCs w:val="16"/>
          <w:u w:val="single" w:color="auto"/>
          <w:color w:val="auto"/>
        </w:rPr>
        <w:t>Employer</w:t>
      </w:r>
      <w:r>
        <w:rPr>
          <w:rFonts w:ascii="Arial" w:cs="Arial" w:eastAsia="Arial" w:hAnsi="Arial"/>
          <w:sz w:val="16"/>
          <w:szCs w:val="16"/>
          <w:color w:val="auto"/>
        </w:rPr>
        <w:t>”), the Parent or any Subsidiary may recover from the Eligible Employee an amount of money sufficient to meet the Tax Liability by any of the following arrangements:</w:t>
      </w:r>
    </w:p>
    <w:p>
      <w:pPr>
        <w:spacing w:after="0" w:line="161"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0" w:name="page141"/>
    <w:bookmarkEnd w:id="140"/>
    <w:p>
      <w:pPr>
        <w:ind w:left="1640" w:hanging="223"/>
        <w:spacing w:after="0"/>
        <w:tabs>
          <w:tab w:leader="none" w:pos="1640" w:val="left"/>
        </w:tabs>
        <w:numPr>
          <w:ilvl w:val="2"/>
          <w:numId w:val="114"/>
        </w:numPr>
        <w:rPr>
          <w:rFonts w:ascii="Arial" w:cs="Arial" w:eastAsia="Arial" w:hAnsi="Arial"/>
          <w:sz w:val="18"/>
          <w:szCs w:val="18"/>
          <w:color w:val="auto"/>
        </w:rPr>
      </w:pPr>
      <w:r>
        <w:rPr>
          <w:rFonts w:ascii="Arial" w:cs="Arial" w:eastAsia="Arial" w:hAnsi="Arial"/>
          <w:sz w:val="18"/>
          <w:szCs w:val="18"/>
          <w:color w:val="auto"/>
        </w:rPr>
        <w:t>deduction from salary or other payments due to the Eligible Employee; or</w:t>
      </w:r>
    </w:p>
    <w:p>
      <w:pPr>
        <w:spacing w:after="0" w:line="225" w:lineRule="exact"/>
        <w:rPr>
          <w:rFonts w:ascii="Arial" w:cs="Arial" w:eastAsia="Arial" w:hAnsi="Arial"/>
          <w:sz w:val="18"/>
          <w:szCs w:val="18"/>
          <w:color w:val="auto"/>
        </w:rPr>
      </w:pPr>
    </w:p>
    <w:p>
      <w:pPr>
        <w:jc w:val="both"/>
        <w:ind w:left="-500" w:right="40" w:firstLine="1917"/>
        <w:spacing w:after="0" w:line="259" w:lineRule="auto"/>
        <w:tabs>
          <w:tab w:leader="none" w:pos="1674" w:val="left"/>
        </w:tabs>
        <w:numPr>
          <w:ilvl w:val="2"/>
          <w:numId w:val="114"/>
        </w:numPr>
        <w:rPr>
          <w:rFonts w:ascii="Arial" w:cs="Arial" w:eastAsia="Arial" w:hAnsi="Arial"/>
          <w:sz w:val="18"/>
          <w:szCs w:val="18"/>
          <w:color w:val="auto"/>
        </w:rPr>
      </w:pPr>
      <w:r>
        <w:rPr>
          <w:rFonts w:ascii="Arial" w:cs="Arial" w:eastAsia="Arial" w:hAnsi="Arial"/>
          <w:sz w:val="18"/>
          <w:szCs w:val="18"/>
          <w:color w:val="auto"/>
        </w:rPr>
        <w:t>withholding the issue, allotment or transfer to the Eligible Employee of that number of shares of Common Stock (otherwise to be acquired by the Eligible Employee on the exercise of the award) whose aggregate market value on date of exercise is, so far as possible, equal to, but not less than, the amount of Tax Liability (together with the fees and expenses incurred in the sale of the shares, where the company intends to sell the shares to meet the Tax Liability); or</w:t>
      </w:r>
    </w:p>
    <w:p>
      <w:pPr>
        <w:spacing w:after="0" w:line="186" w:lineRule="exact"/>
        <w:rPr>
          <w:rFonts w:ascii="Arial" w:cs="Arial" w:eastAsia="Arial" w:hAnsi="Arial"/>
          <w:sz w:val="18"/>
          <w:szCs w:val="18"/>
          <w:color w:val="auto"/>
        </w:rPr>
      </w:pPr>
    </w:p>
    <w:p>
      <w:pPr>
        <w:ind w:left="-500" w:right="20" w:firstLine="1917"/>
        <w:spacing w:after="0" w:line="279" w:lineRule="auto"/>
        <w:tabs>
          <w:tab w:leader="none" w:pos="1724" w:val="left"/>
        </w:tabs>
        <w:numPr>
          <w:ilvl w:val="2"/>
          <w:numId w:val="114"/>
        </w:numPr>
        <w:rPr>
          <w:rFonts w:ascii="Arial" w:cs="Arial" w:eastAsia="Arial" w:hAnsi="Arial"/>
          <w:sz w:val="17"/>
          <w:szCs w:val="17"/>
          <w:color w:val="auto"/>
        </w:rPr>
      </w:pPr>
      <w:r>
        <w:rPr>
          <w:rFonts w:ascii="Arial" w:cs="Arial" w:eastAsia="Arial" w:hAnsi="Arial"/>
          <w:sz w:val="17"/>
          <w:szCs w:val="17"/>
          <w:color w:val="auto"/>
        </w:rPr>
        <w:t>withholding the issue, allotment or transfer to the Eligible Employee of the shares of Common Stock otherwise to be acquired by the Eligible Employee pursuant to the award until the Eligible Employee has demonstrated to the satisfaction of the Company or the Employer that he or she has given irrevocable instructions to a third party (for example a broker) satisfactory to the Company or the Employer to sell sufficient of those shares to ensure the net proceeds are so far as possible, equal to but not less than, the amount of the Tax Liability; or</w:t>
      </w:r>
    </w:p>
    <w:p>
      <w:pPr>
        <w:spacing w:after="0" w:line="171" w:lineRule="exact"/>
        <w:rPr>
          <w:rFonts w:ascii="Arial" w:cs="Arial" w:eastAsia="Arial" w:hAnsi="Arial"/>
          <w:sz w:val="17"/>
          <w:szCs w:val="17"/>
          <w:color w:val="auto"/>
        </w:rPr>
      </w:pPr>
    </w:p>
    <w:p>
      <w:pPr>
        <w:ind w:left="-500" w:firstLine="1917"/>
        <w:spacing w:after="0" w:line="277" w:lineRule="auto"/>
        <w:tabs>
          <w:tab w:leader="none" w:pos="1714" w:val="left"/>
        </w:tabs>
        <w:numPr>
          <w:ilvl w:val="2"/>
          <w:numId w:val="114"/>
        </w:numPr>
        <w:rPr>
          <w:rFonts w:ascii="Arial" w:cs="Arial" w:eastAsia="Arial" w:hAnsi="Arial"/>
          <w:sz w:val="18"/>
          <w:szCs w:val="18"/>
          <w:color w:val="auto"/>
        </w:rPr>
      </w:pPr>
      <w:r>
        <w:rPr>
          <w:rFonts w:ascii="Arial" w:cs="Arial" w:eastAsia="Arial" w:hAnsi="Arial"/>
          <w:sz w:val="18"/>
          <w:szCs w:val="18"/>
          <w:color w:val="auto"/>
        </w:rPr>
        <w:t>where the Tax Liability arises as a result of a release or assignment by the Eligible Employee of the award, a deduction from the payment made to him or her as consideration for such release or assignment.</w:t>
      </w:r>
    </w:p>
    <w:p>
      <w:pPr>
        <w:spacing w:after="0" w:line="170" w:lineRule="exact"/>
        <w:rPr>
          <w:rFonts w:ascii="Arial" w:cs="Arial" w:eastAsia="Arial" w:hAnsi="Arial"/>
          <w:sz w:val="18"/>
          <w:szCs w:val="18"/>
          <w:color w:val="auto"/>
        </w:rPr>
      </w:pPr>
    </w:p>
    <w:p>
      <w:pPr>
        <w:ind w:left="-500" w:firstLine="1329"/>
        <w:spacing w:after="0" w:line="263" w:lineRule="auto"/>
        <w:tabs>
          <w:tab w:leader="none" w:pos="1065" w:val="left"/>
        </w:tabs>
        <w:numPr>
          <w:ilvl w:val="1"/>
          <w:numId w:val="115"/>
        </w:numPr>
        <w:rPr>
          <w:rFonts w:ascii="Arial" w:cs="Arial" w:eastAsia="Arial" w:hAnsi="Arial"/>
          <w:sz w:val="18"/>
          <w:szCs w:val="18"/>
          <w:color w:val="auto"/>
        </w:rPr>
      </w:pPr>
      <w:r>
        <w:rPr>
          <w:rFonts w:ascii="Arial" w:cs="Arial" w:eastAsia="Arial" w:hAnsi="Arial"/>
          <w:sz w:val="18"/>
          <w:szCs w:val="18"/>
          <w:color w:val="auto"/>
        </w:rPr>
        <w:t>Paragraph (b) will not apply where the Eligible Employee has, before the allotment, issuance or transfer of the shares of Common Stock to be issued or transferred to the Eligible Employee as a result of the exercise of the award, paid to the Company or the Employer, in cleared funds, a sum equal to the applicable Tax Liability.</w:t>
      </w:r>
    </w:p>
    <w:p>
      <w:pPr>
        <w:spacing w:after="0" w:line="183" w:lineRule="exact"/>
        <w:rPr>
          <w:rFonts w:ascii="Arial" w:cs="Arial" w:eastAsia="Arial" w:hAnsi="Arial"/>
          <w:sz w:val="18"/>
          <w:szCs w:val="18"/>
          <w:color w:val="auto"/>
        </w:rPr>
      </w:pPr>
    </w:p>
    <w:p>
      <w:pPr>
        <w:ind w:left="-500" w:firstLine="594"/>
        <w:spacing w:after="0" w:line="273" w:lineRule="auto"/>
        <w:tabs>
          <w:tab w:leader="none" w:pos="266"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No Registration</w:t>
      </w:r>
      <w:r>
        <w:rPr>
          <w:rFonts w:ascii="Arial" w:cs="Arial" w:eastAsia="Arial" w:hAnsi="Arial"/>
          <w:sz w:val="17"/>
          <w:szCs w:val="17"/>
          <w:color w:val="auto"/>
        </w:rPr>
        <w:t>. It shall be a term and condition of each award granted under this Sub-Plan that the Eligible Employee acknowledges that neither the awards under the Plan nor the shares of Common Stock issuable under the Plan have been and they will not be registered with or approved by the Financial Supervisory Commission of the Republic of China pursuant to relevant securities laws and regulations and neither the awards under the Plan nor the shares of Common Stock issuable under the Plan may be offered or sold within the Republic of China through a public offering or in circumstances which constitute an offer within the meaning of the Securities and Exchange Law of the Republic of China that requires a registration or approval of the Financial Supervisory Commission of the Republic of China.</w:t>
      </w:r>
    </w:p>
    <w:p>
      <w:pPr>
        <w:spacing w:after="0" w:line="177" w:lineRule="exact"/>
        <w:rPr>
          <w:rFonts w:ascii="Arial" w:cs="Arial" w:eastAsia="Arial" w:hAnsi="Arial"/>
          <w:sz w:val="17"/>
          <w:szCs w:val="17"/>
          <w:color w:val="auto"/>
        </w:rPr>
      </w:pPr>
    </w:p>
    <w:p>
      <w:pPr>
        <w:ind w:left="-500" w:firstLine="594"/>
        <w:spacing w:after="0" w:line="275" w:lineRule="auto"/>
        <w:tabs>
          <w:tab w:leader="none" w:pos="266"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Foreign Exchange</w:t>
      </w:r>
      <w:r>
        <w:rPr>
          <w:rFonts w:ascii="Arial" w:cs="Arial" w:eastAsia="Arial" w:hAnsi="Arial"/>
          <w:sz w:val="17"/>
          <w:szCs w:val="17"/>
          <w:color w:val="auto"/>
        </w:rPr>
        <w:t>. It shall be a term and condition of each award granted under this Sub-Plan that the Eligible Employee acknowledges that that he or she may be required to do certain acts and/or execute certain documents in connection with the grant of awards under the Plan, the purchase of shares of Common Stock under the Plan and disposing of the shares of Common Stock so purchased, including but not limited to obtaining foreign exchange approval for remittance of funds and other governmental approvals within the Republic of China. Each Eligible Employee shall pay his or her own costs and expenses with respect to any event concerning such Eligible Employee arising as a result of the Plan.</w:t>
      </w:r>
    </w:p>
    <w:p>
      <w:pPr>
        <w:spacing w:after="0" w:line="176" w:lineRule="exact"/>
        <w:rPr>
          <w:rFonts w:ascii="Arial" w:cs="Arial" w:eastAsia="Arial" w:hAnsi="Arial"/>
          <w:sz w:val="17"/>
          <w:szCs w:val="17"/>
          <w:color w:val="auto"/>
        </w:rPr>
      </w:pPr>
    </w:p>
    <w:p>
      <w:pPr>
        <w:ind w:left="-500" w:firstLine="594"/>
        <w:spacing w:after="0" w:line="342" w:lineRule="auto"/>
        <w:tabs>
          <w:tab w:leader="none" w:pos="266"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The validity and enforceability of this Sub-Plan shall be governed by, and construed in accordance with, the laws of the State of Delaware without regard to otherwise governing principles of conflicts of law, except to the extent that mandatory provisions of Taiwanese law apply.</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14946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680"/>
          </w:cols>
          <w:pgMar w:left="820" w:top="557" w:right="399" w:bottom="1440" w:gutter="0" w:footer="0" w:header="0"/>
        </w:sectPr>
      </w:pPr>
    </w:p>
    <w:bookmarkStart w:id="141" w:name="page142"/>
    <w:bookmarkEnd w:id="141"/>
    <w:p>
      <w:pPr>
        <w:jc w:val="center"/>
        <w:ind w:right="-19"/>
        <w:spacing w:after="0"/>
        <w:rPr>
          <w:sz w:val="20"/>
          <w:szCs w:val="20"/>
          <w:color w:val="auto"/>
        </w:rPr>
      </w:pPr>
      <w:r>
        <w:rPr>
          <w:rFonts w:ascii="Arial" w:cs="Arial" w:eastAsia="Arial" w:hAnsi="Arial"/>
          <w:sz w:val="18"/>
          <w:szCs w:val="18"/>
          <w:b w:val="1"/>
          <w:bCs w:val="1"/>
          <w:color w:val="auto"/>
        </w:rPr>
        <w:t>CORSAIR GAMING,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2020 EMPLOYEE STOCK PURCHASE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SUB-PLAN FOR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INTERNATIONAL PARTICIPANTS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KINGDOM</w:t>
      </w:r>
    </w:p>
    <w:p>
      <w:pPr>
        <w:spacing w:after="0" w:line="230" w:lineRule="exact"/>
        <w:rPr>
          <w:sz w:val="20"/>
          <w:szCs w:val="20"/>
          <w:color w:val="auto"/>
        </w:rPr>
      </w:pPr>
    </w:p>
    <w:p>
      <w:pPr>
        <w:ind w:left="580" w:hanging="572"/>
        <w:spacing w:after="0"/>
        <w:tabs>
          <w:tab w:leader="none" w:pos="580" w:val="left"/>
        </w:tabs>
        <w:numPr>
          <w:ilvl w:val="0"/>
          <w:numId w:val="117"/>
        </w:numPr>
        <w:rPr>
          <w:rFonts w:ascii="Arial" w:cs="Arial" w:eastAsia="Arial" w:hAnsi="Arial"/>
          <w:sz w:val="16"/>
          <w:szCs w:val="16"/>
          <w:b w:val="1"/>
          <w:bCs w:val="1"/>
          <w:color w:val="auto"/>
        </w:rPr>
      </w:pPr>
      <w:r>
        <w:rPr>
          <w:rFonts w:ascii="Arial" w:cs="Arial" w:eastAsia="Arial" w:hAnsi="Arial"/>
          <w:sz w:val="16"/>
          <w:szCs w:val="16"/>
          <w:b w:val="1"/>
          <w:bCs w:val="1"/>
          <w:color w:val="auto"/>
        </w:rPr>
        <w:t>APPLICATION</w:t>
      </w:r>
    </w:p>
    <w:p>
      <w:pPr>
        <w:spacing w:after="0" w:line="234" w:lineRule="exact"/>
        <w:rPr>
          <w:sz w:val="20"/>
          <w:szCs w:val="20"/>
          <w:color w:val="auto"/>
        </w:rPr>
      </w:pPr>
    </w:p>
    <w:p>
      <w:pPr>
        <w:ind w:right="40" w:firstLine="586"/>
        <w:spacing w:after="0" w:line="263" w:lineRule="auto"/>
        <w:rPr>
          <w:sz w:val="20"/>
          <w:szCs w:val="20"/>
          <w:color w:val="auto"/>
        </w:rPr>
      </w:pPr>
      <w:r>
        <w:rPr>
          <w:rFonts w:ascii="Arial" w:cs="Arial" w:eastAsia="Arial" w:hAnsi="Arial"/>
          <w:sz w:val="18"/>
          <w:szCs w:val="18"/>
          <w:color w:val="auto"/>
        </w:rPr>
        <w:t>This section sets forth additional terms and conditions applicable to the rights granted to, and the shares of Stock purchased by, Eligible Employees who are (or are deemed to be) resident in the United Kingdom for the purpose of payment of taxes or who exercise all of their employment duties in the United Kingdom and forms an integral part of the Plan and Sub-Plan.</w:t>
      </w:r>
    </w:p>
    <w:p>
      <w:pPr>
        <w:spacing w:after="0" w:line="184" w:lineRule="exact"/>
        <w:rPr>
          <w:sz w:val="20"/>
          <w:szCs w:val="20"/>
          <w:color w:val="auto"/>
        </w:rPr>
      </w:pPr>
    </w:p>
    <w:p>
      <w:pPr>
        <w:ind w:left="580" w:hanging="572"/>
        <w:spacing w:after="0"/>
        <w:tabs>
          <w:tab w:leader="none" w:pos="580" w:val="left"/>
        </w:tabs>
        <w:numPr>
          <w:ilvl w:val="0"/>
          <w:numId w:val="118"/>
        </w:numPr>
        <w:rPr>
          <w:rFonts w:ascii="Arial" w:cs="Arial" w:eastAsia="Arial" w:hAnsi="Arial"/>
          <w:sz w:val="16"/>
          <w:szCs w:val="16"/>
          <w:b w:val="1"/>
          <w:bCs w:val="1"/>
          <w:color w:val="auto"/>
        </w:rPr>
      </w:pPr>
      <w:r>
        <w:rPr>
          <w:rFonts w:ascii="Arial" w:cs="Arial" w:eastAsia="Arial" w:hAnsi="Arial"/>
          <w:sz w:val="16"/>
          <w:szCs w:val="16"/>
          <w:b w:val="1"/>
          <w:bCs w:val="1"/>
          <w:color w:val="auto"/>
        </w:rPr>
        <w:t>TAX CONSEQUENCES</w:t>
      </w:r>
    </w:p>
    <w:p>
      <w:pPr>
        <w:spacing w:after="0" w:line="234" w:lineRule="exact"/>
        <w:rPr>
          <w:rFonts w:ascii="Arial" w:cs="Arial" w:eastAsia="Arial" w:hAnsi="Arial"/>
          <w:sz w:val="16"/>
          <w:szCs w:val="16"/>
          <w:b w:val="1"/>
          <w:bCs w:val="1"/>
          <w:color w:val="auto"/>
        </w:rPr>
      </w:pPr>
    </w:p>
    <w:p>
      <w:pPr>
        <w:ind w:right="120" w:firstLine="594"/>
        <w:spacing w:after="0" w:line="263" w:lineRule="auto"/>
        <w:tabs>
          <w:tab w:leader="none" w:pos="831"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The Eligible Employee agrees to indemnify and keep indemnified the Company Group from and against any liability for or obligation to pay any tax liability that is attributable to: (i) the grant or exercise of a right under the Plan; (ii) the acquisition by the Eligible Employee of shares of Common Stock on exercise of the right; or (iii) the disposal of any shares of Common Stock (each, a “</w:t>
      </w:r>
      <w:r>
        <w:rPr>
          <w:rFonts w:ascii="Arial" w:cs="Arial" w:eastAsia="Arial" w:hAnsi="Arial"/>
          <w:sz w:val="18"/>
          <w:szCs w:val="18"/>
          <w:u w:val="single" w:color="auto"/>
          <w:color w:val="auto"/>
        </w:rPr>
        <w:t>Tax Liability</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right="160" w:firstLine="594"/>
        <w:spacing w:after="0" w:line="301" w:lineRule="auto"/>
        <w:tabs>
          <w:tab w:leader="none" w:pos="841" w:val="left"/>
        </w:tabs>
        <w:numPr>
          <w:ilvl w:val="1"/>
          <w:numId w:val="118"/>
        </w:numPr>
        <w:rPr>
          <w:rFonts w:ascii="Arial" w:cs="Arial" w:eastAsia="Arial" w:hAnsi="Arial"/>
          <w:sz w:val="16"/>
          <w:szCs w:val="16"/>
          <w:color w:val="auto"/>
        </w:rPr>
      </w:pPr>
      <w:r>
        <w:rPr>
          <w:rFonts w:ascii="Arial" w:cs="Arial" w:eastAsia="Arial" w:hAnsi="Arial"/>
          <w:sz w:val="16"/>
          <w:szCs w:val="16"/>
          <w:color w:val="auto"/>
        </w:rPr>
        <w:t>At the discretion of the Administrator, purchase rights granted under the Plan cannot be exercised until the Eligible Employee has entered into an election with the Company or the Employer as appropriate (in a form approved by the Employer and HMRC) (a “</w:t>
      </w:r>
      <w:r>
        <w:rPr>
          <w:rFonts w:ascii="Arial" w:cs="Arial" w:eastAsia="Arial" w:hAnsi="Arial"/>
          <w:sz w:val="16"/>
          <w:szCs w:val="16"/>
          <w:u w:val="single" w:color="auto"/>
          <w:color w:val="auto"/>
        </w:rPr>
        <w:t>joint election</w:t>
      </w:r>
      <w:r>
        <w:rPr>
          <w:rFonts w:ascii="Arial" w:cs="Arial" w:eastAsia="Arial" w:hAnsi="Arial"/>
          <w:sz w:val="16"/>
          <w:szCs w:val="16"/>
          <w:color w:val="auto"/>
        </w:rPr>
        <w:t>”) under which any liability of the Company Group for Employer’s National Insurance Contributions arising in respect of the grant, exercise of or other dealing in the rights granted under the Plan, or the acquisition of shares of Common Stock on exercise of the right, is transferred to and met by the Eligible Employee.</w:t>
      </w:r>
    </w:p>
    <w:p>
      <w:pPr>
        <w:spacing w:after="0" w:line="157" w:lineRule="exact"/>
        <w:rPr>
          <w:rFonts w:ascii="Arial" w:cs="Arial" w:eastAsia="Arial" w:hAnsi="Arial"/>
          <w:sz w:val="16"/>
          <w:szCs w:val="16"/>
          <w:color w:val="auto"/>
        </w:rPr>
      </w:pPr>
    </w:p>
    <w:p>
      <w:pPr>
        <w:jc w:val="both"/>
        <w:ind w:right="60" w:firstLine="594"/>
        <w:spacing w:after="0" w:line="259" w:lineRule="auto"/>
        <w:tabs>
          <w:tab w:leader="none" w:pos="831" w:val="left"/>
        </w:tabs>
        <w:numPr>
          <w:ilvl w:val="1"/>
          <w:numId w:val="118"/>
        </w:numPr>
        <w:rPr>
          <w:rFonts w:ascii="Arial" w:cs="Arial" w:eastAsia="Arial" w:hAnsi="Arial"/>
          <w:sz w:val="18"/>
          <w:szCs w:val="18"/>
          <w:color w:val="auto"/>
        </w:rPr>
      </w:pPr>
      <w:r>
        <w:rPr>
          <w:rFonts w:ascii="Arial" w:cs="Arial" w:eastAsia="Arial" w:hAnsi="Arial"/>
          <w:sz w:val="18"/>
          <w:szCs w:val="18"/>
          <w:color w:val="auto"/>
        </w:rPr>
        <w:t>Without prejudice to the terms of the Plan, rights cannot be exercised until the Eligible Employee has made such arrangements as the Company Group may require for the satisfaction of any Tax Liability that may arise in connection with the exercise of the right and/or the acquisition of the shares of Stock by the Eligible Employee. Where any Tax Liability is likely to arise, the Company Group may recover from the Eligible Employee an amount of money sufficient to meet the Tax Liability by any of the following arrangements:</w:t>
      </w:r>
    </w:p>
    <w:p>
      <w:pPr>
        <w:spacing w:after="0" w:line="186" w:lineRule="exact"/>
        <w:rPr>
          <w:rFonts w:ascii="Arial" w:cs="Arial" w:eastAsia="Arial" w:hAnsi="Arial"/>
          <w:sz w:val="18"/>
          <w:szCs w:val="18"/>
          <w:color w:val="auto"/>
        </w:rPr>
      </w:pPr>
    </w:p>
    <w:p>
      <w:pPr>
        <w:ind w:left="1540" w:hanging="211"/>
        <w:spacing w:after="0"/>
        <w:tabs>
          <w:tab w:leader="none" w:pos="1540" w:val="left"/>
        </w:tabs>
        <w:numPr>
          <w:ilvl w:val="2"/>
          <w:numId w:val="118"/>
        </w:numPr>
        <w:rPr>
          <w:rFonts w:ascii="Arial" w:cs="Arial" w:eastAsia="Arial" w:hAnsi="Arial"/>
          <w:sz w:val="18"/>
          <w:szCs w:val="18"/>
          <w:color w:val="auto"/>
        </w:rPr>
      </w:pPr>
      <w:r>
        <w:rPr>
          <w:rFonts w:ascii="Arial" w:cs="Arial" w:eastAsia="Arial" w:hAnsi="Arial"/>
          <w:sz w:val="18"/>
          <w:szCs w:val="18"/>
          <w:color w:val="auto"/>
        </w:rPr>
        <w:t>deduction from salary or other payments due to the Eligible Employee;</w:t>
      </w:r>
    </w:p>
    <w:p>
      <w:pPr>
        <w:spacing w:after="0" w:line="225" w:lineRule="exact"/>
        <w:rPr>
          <w:rFonts w:ascii="Arial" w:cs="Arial" w:eastAsia="Arial" w:hAnsi="Arial"/>
          <w:sz w:val="18"/>
          <w:szCs w:val="18"/>
          <w:color w:val="auto"/>
        </w:rPr>
      </w:pPr>
    </w:p>
    <w:p>
      <w:pPr>
        <w:ind w:right="20" w:firstLine="1329"/>
        <w:spacing w:after="0" w:line="259" w:lineRule="auto"/>
        <w:tabs>
          <w:tab w:leader="none" w:pos="1585" w:val="left"/>
        </w:tabs>
        <w:numPr>
          <w:ilvl w:val="2"/>
          <w:numId w:val="118"/>
        </w:numPr>
        <w:rPr>
          <w:rFonts w:ascii="Arial" w:cs="Arial" w:eastAsia="Arial" w:hAnsi="Arial"/>
          <w:sz w:val="18"/>
          <w:szCs w:val="18"/>
          <w:color w:val="auto"/>
        </w:rPr>
      </w:pPr>
      <w:r>
        <w:rPr>
          <w:rFonts w:ascii="Arial" w:cs="Arial" w:eastAsia="Arial" w:hAnsi="Arial"/>
          <w:sz w:val="18"/>
          <w:szCs w:val="18"/>
          <w:color w:val="auto"/>
        </w:rPr>
        <w:t>withholding the issue, allotment or transfer to the Eligible Employee of that number of shares of Common Stock (otherwise to be acquired by the Eligible Employee on the exercise of the right) whose aggregate market value on date of exercise is, so far as possible, equal to, but not less than, the amount of Tax Liability (together with the fees and expenses incurred in the sale of the shares of Common Stock, where the Company intends to sell the shares to meet the Tax Liability);</w:t>
      </w:r>
    </w:p>
    <w:p>
      <w:pPr>
        <w:spacing w:after="0" w:line="186" w:lineRule="exact"/>
        <w:rPr>
          <w:rFonts w:ascii="Arial" w:cs="Arial" w:eastAsia="Arial" w:hAnsi="Arial"/>
          <w:sz w:val="18"/>
          <w:szCs w:val="18"/>
          <w:color w:val="auto"/>
        </w:rPr>
      </w:pPr>
    </w:p>
    <w:p>
      <w:pPr>
        <w:ind w:right="40" w:firstLine="1329"/>
        <w:spacing w:after="0" w:line="259" w:lineRule="auto"/>
        <w:tabs>
          <w:tab w:leader="none" w:pos="1635" w:val="left"/>
        </w:tabs>
        <w:numPr>
          <w:ilvl w:val="2"/>
          <w:numId w:val="118"/>
        </w:numPr>
        <w:rPr>
          <w:rFonts w:ascii="Arial" w:cs="Arial" w:eastAsia="Arial" w:hAnsi="Arial"/>
          <w:sz w:val="18"/>
          <w:szCs w:val="18"/>
          <w:color w:val="auto"/>
        </w:rPr>
      </w:pPr>
      <w:r>
        <w:rPr>
          <w:rFonts w:ascii="Arial" w:cs="Arial" w:eastAsia="Arial" w:hAnsi="Arial"/>
          <w:sz w:val="18"/>
          <w:szCs w:val="18"/>
          <w:color w:val="auto"/>
        </w:rPr>
        <w:t>withholding the issue, allotment or transfer to the Eligible Employee of the shares of Stock otherwise to be acquired by the Eligible Employee pursuant to the right until the Eligible Employee has demonstrated to the satisfaction of the Company Group that he has given irrevocable instructions to a third party (for example, a broker) satisfactory to the Company Group to sell a sufficient number of those shares to ensure the net proceeds are so far as possible, equal to but not less than, the amount of the Tax Liability; or</w:t>
      </w:r>
    </w:p>
    <w:p>
      <w:pPr>
        <w:spacing w:after="0" w:line="186" w:lineRule="exact"/>
        <w:rPr>
          <w:rFonts w:ascii="Arial" w:cs="Arial" w:eastAsia="Arial" w:hAnsi="Arial"/>
          <w:sz w:val="18"/>
          <w:szCs w:val="18"/>
          <w:color w:val="auto"/>
        </w:rPr>
      </w:pPr>
    </w:p>
    <w:p>
      <w:pPr>
        <w:ind w:right="480" w:firstLine="1329"/>
        <w:spacing w:after="0" w:line="277" w:lineRule="auto"/>
        <w:tabs>
          <w:tab w:leader="none" w:pos="1625" w:val="left"/>
        </w:tabs>
        <w:numPr>
          <w:ilvl w:val="2"/>
          <w:numId w:val="118"/>
        </w:numPr>
        <w:rPr>
          <w:rFonts w:ascii="Arial" w:cs="Arial" w:eastAsia="Arial" w:hAnsi="Arial"/>
          <w:sz w:val="18"/>
          <w:szCs w:val="18"/>
          <w:color w:val="auto"/>
        </w:rPr>
      </w:pPr>
      <w:r>
        <w:rPr>
          <w:rFonts w:ascii="Arial" w:cs="Arial" w:eastAsia="Arial" w:hAnsi="Arial"/>
          <w:sz w:val="18"/>
          <w:szCs w:val="18"/>
          <w:color w:val="auto"/>
        </w:rPr>
        <w:t>where the Tax Liability arises as a result of a release or assignment by the Eligible Employee of the right, a deduction from the payment made to him as consideration for such release or assignment.</w:t>
      </w:r>
    </w:p>
    <w:p>
      <w:pPr>
        <w:spacing w:after="0" w:line="170" w:lineRule="exact"/>
        <w:rPr>
          <w:rFonts w:ascii="Arial" w:cs="Arial" w:eastAsia="Arial" w:hAnsi="Arial"/>
          <w:sz w:val="18"/>
          <w:szCs w:val="18"/>
          <w:color w:val="auto"/>
        </w:rPr>
      </w:pPr>
    </w:p>
    <w:p>
      <w:pPr>
        <w:jc w:val="both"/>
        <w:ind w:firstLine="594"/>
        <w:spacing w:after="0" w:line="263" w:lineRule="auto"/>
        <w:tabs>
          <w:tab w:leader="none" w:pos="841" w:val="left"/>
        </w:tabs>
        <w:numPr>
          <w:ilvl w:val="1"/>
          <w:numId w:val="118"/>
        </w:numPr>
        <w:rPr>
          <w:rFonts w:ascii="Arial" w:cs="Arial" w:eastAsia="Arial" w:hAnsi="Arial"/>
          <w:sz w:val="18"/>
          <w:szCs w:val="18"/>
          <w:color w:val="auto"/>
        </w:rPr>
      </w:pPr>
      <w:r>
        <w:rPr>
          <w:rFonts w:ascii="Arial" w:cs="Arial" w:eastAsia="Arial" w:hAnsi="Arial"/>
          <w:sz w:val="18"/>
          <w:szCs w:val="18"/>
          <w:color w:val="auto"/>
        </w:rPr>
        <w:t>Section 2(c) of this Sub-Plan will not apply where the Eligible Employee has, before the allotment, issuance or transfer of the shares of Stock to be issued or transferred to the Eligible Employee as a result of the exercise of the right, paid to the Company Group, in cleared funds a sum equal to the Tax Liability arising on the exercise of the right.</w:t>
      </w:r>
    </w:p>
    <w:p>
      <w:pPr>
        <w:spacing w:after="0" w:line="184"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513"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Andrew J. Paul, certify that:</w:t>
      </w:r>
    </w:p>
    <w:p>
      <w:pPr>
        <w:spacing w:after="0" w:line="225" w:lineRule="exact"/>
        <w:rPr>
          <w:sz w:val="20"/>
          <w:szCs w:val="20"/>
          <w:color w:val="auto"/>
        </w:rPr>
      </w:pPr>
    </w:p>
    <w:p>
      <w:pPr>
        <w:ind w:left="620" w:hanging="612"/>
        <w:spacing w:after="0"/>
        <w:tabs>
          <w:tab w:leader="none" w:pos="6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Corsair Gaming, Inc.;</w:t>
      </w:r>
    </w:p>
    <w:p>
      <w:pPr>
        <w:spacing w:after="0" w:line="225" w:lineRule="exact"/>
        <w:rPr>
          <w:rFonts w:ascii="Arial" w:cs="Arial" w:eastAsia="Arial" w:hAnsi="Arial"/>
          <w:sz w:val="18"/>
          <w:szCs w:val="18"/>
          <w:color w:val="auto"/>
        </w:rPr>
      </w:pPr>
    </w:p>
    <w:p>
      <w:pPr>
        <w:jc w:val="both"/>
        <w:ind w:left="620" w:right="160" w:hanging="612"/>
        <w:spacing w:after="0" w:line="263" w:lineRule="auto"/>
        <w:tabs>
          <w:tab w:leader="none" w:pos="6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20" w:right="120" w:hanging="612"/>
        <w:spacing w:after="0" w:line="308" w:lineRule="auto"/>
        <w:tabs>
          <w:tab w:leader="none" w:pos="62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20" w:right="360" w:hanging="612"/>
        <w:spacing w:after="0" w:line="277" w:lineRule="auto"/>
        <w:tabs>
          <w:tab w:leader="none" w:pos="6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220" w:right="200" w:hanging="605"/>
        <w:spacing w:after="0" w:line="263" w:lineRule="auto"/>
        <w:tabs>
          <w:tab w:leader="none" w:pos="122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220" w:hanging="605"/>
        <w:spacing w:after="0"/>
        <w:tabs>
          <w:tab w:leader="none" w:pos="122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1220" w:right="300" w:hanging="605"/>
        <w:spacing w:after="0" w:line="342" w:lineRule="auto"/>
        <w:tabs>
          <w:tab w:leader="none" w:pos="122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300" w:hanging="605"/>
        <w:spacing w:after="0" w:line="263" w:lineRule="auto"/>
        <w:tabs>
          <w:tab w:leader="none" w:pos="122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20" w:right="120" w:hanging="612"/>
        <w:spacing w:after="0" w:line="342" w:lineRule="auto"/>
        <w:tabs>
          <w:tab w:leader="none" w:pos="62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540" w:hanging="605"/>
        <w:spacing w:after="0" w:line="342" w:lineRule="auto"/>
        <w:tabs>
          <w:tab w:leader="none" w:pos="122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220" w:hanging="605"/>
        <w:spacing w:after="0" w:line="277" w:lineRule="auto"/>
        <w:tabs>
          <w:tab w:leader="none" w:pos="122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Date: November 10, 2020</w:t>
            </w:r>
          </w:p>
        </w:tc>
        <w:tc>
          <w:tcPr>
            <w:tcW w:w="2260" w:type="dxa"/>
            <w:vAlign w:val="bottom"/>
          </w:tcPr>
          <w:p>
            <w:pPr>
              <w:ind w:left="190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Andrew J. Paul</w:t>
            </w:r>
          </w:p>
        </w:tc>
      </w:tr>
      <w:tr>
        <w:trPr>
          <w:trHeight w:val="222"/>
        </w:trPr>
        <w:tc>
          <w:tcPr>
            <w:tcW w:w="37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0"/>
              </w:rPr>
              <w:t>Andrew J. Paul</w:t>
            </w:r>
          </w:p>
        </w:tc>
      </w:tr>
      <w:tr>
        <w:trPr>
          <w:trHeight w:val="216"/>
        </w:trPr>
        <w:tc>
          <w:tcPr>
            <w:tcW w:w="37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230"/>
        </w:trPr>
        <w:tc>
          <w:tcPr>
            <w:tcW w:w="37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bl>
    <w:p>
      <w:pPr>
        <w:sectPr>
          <w:pgSz w:w="11900" w:h="16838" w:orient="portrait"/>
          <w:cols w:equalWidth="0" w:num="1">
            <w:col w:w="11240"/>
          </w:cols>
          <w:pgMar w:left="320" w:top="351"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G. Potter, certify that:</w:t>
      </w:r>
    </w:p>
    <w:p>
      <w:pPr>
        <w:spacing w:after="0" w:line="225" w:lineRule="exact"/>
        <w:rPr>
          <w:sz w:val="20"/>
          <w:szCs w:val="20"/>
          <w:color w:val="auto"/>
        </w:rPr>
      </w:pPr>
    </w:p>
    <w:p>
      <w:pPr>
        <w:ind w:left="620" w:hanging="612"/>
        <w:spacing w:after="0"/>
        <w:tabs>
          <w:tab w:leader="none" w:pos="6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Corsair Gaming, Inc.;</w:t>
      </w:r>
    </w:p>
    <w:p>
      <w:pPr>
        <w:spacing w:after="0" w:line="225" w:lineRule="exact"/>
        <w:rPr>
          <w:rFonts w:ascii="Arial" w:cs="Arial" w:eastAsia="Arial" w:hAnsi="Arial"/>
          <w:sz w:val="18"/>
          <w:szCs w:val="18"/>
          <w:color w:val="auto"/>
        </w:rPr>
      </w:pPr>
    </w:p>
    <w:p>
      <w:pPr>
        <w:jc w:val="both"/>
        <w:ind w:left="620" w:right="160" w:hanging="612"/>
        <w:spacing w:after="0" w:line="263" w:lineRule="auto"/>
        <w:tabs>
          <w:tab w:leader="none" w:pos="6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20" w:right="120" w:hanging="612"/>
        <w:spacing w:after="0" w:line="308" w:lineRule="auto"/>
        <w:tabs>
          <w:tab w:leader="none" w:pos="62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20" w:right="180" w:hanging="612"/>
        <w:spacing w:after="0" w:line="277" w:lineRule="auto"/>
        <w:tabs>
          <w:tab w:leader="none" w:pos="6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220" w:right="200" w:hanging="605"/>
        <w:spacing w:after="0" w:line="263" w:lineRule="auto"/>
        <w:tabs>
          <w:tab w:leader="none" w:pos="122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220" w:hanging="605"/>
        <w:spacing w:after="0"/>
        <w:tabs>
          <w:tab w:leader="none" w:pos="122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1220" w:right="300" w:hanging="605"/>
        <w:spacing w:after="0" w:line="342" w:lineRule="auto"/>
        <w:tabs>
          <w:tab w:leader="none" w:pos="122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300" w:hanging="605"/>
        <w:spacing w:after="0" w:line="263" w:lineRule="auto"/>
        <w:tabs>
          <w:tab w:leader="none" w:pos="122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20" w:right="140" w:hanging="612"/>
        <w:spacing w:after="0" w:line="342" w:lineRule="auto"/>
        <w:tabs>
          <w:tab w:leader="none" w:pos="62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540" w:hanging="605"/>
        <w:spacing w:after="0" w:line="342" w:lineRule="auto"/>
        <w:tabs>
          <w:tab w:leader="none" w:pos="122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220" w:hanging="605"/>
        <w:spacing w:after="0" w:line="277" w:lineRule="auto"/>
        <w:tabs>
          <w:tab w:leader="none" w:pos="122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Date: November 10, 2020</w:t>
            </w:r>
          </w:p>
        </w:tc>
        <w:tc>
          <w:tcPr>
            <w:tcW w:w="2260" w:type="dxa"/>
            <w:vAlign w:val="bottom"/>
          </w:tcPr>
          <w:p>
            <w:pPr>
              <w:ind w:left="190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Michael G. Potter</w:t>
            </w:r>
          </w:p>
        </w:tc>
      </w:tr>
      <w:tr>
        <w:trPr>
          <w:trHeight w:val="222"/>
        </w:trPr>
        <w:tc>
          <w:tcPr>
            <w:tcW w:w="37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2"/>
              </w:rPr>
              <w:t>Michael G. Potter</w:t>
            </w:r>
          </w:p>
        </w:tc>
      </w:tr>
      <w:tr>
        <w:trPr>
          <w:trHeight w:val="216"/>
        </w:trPr>
        <w:tc>
          <w:tcPr>
            <w:tcW w:w="37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37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bl>
    <w:p>
      <w:pPr>
        <w:sectPr>
          <w:pgSz w:w="11900" w:h="16838" w:orient="portrait"/>
          <w:cols w:equalWidth="0" w:num="1">
            <w:col w:w="11240"/>
          </w:cols>
          <w:pgMar w:left="320" w:top="121"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45" w:lineRule="exact"/>
        <w:rPr>
          <w:sz w:val="20"/>
          <w:szCs w:val="20"/>
          <w:color w:val="auto"/>
        </w:rPr>
      </w:pPr>
    </w:p>
    <w:p>
      <w:pPr>
        <w:ind w:right="280" w:firstLine="562"/>
        <w:spacing w:after="0" w:line="311" w:lineRule="auto"/>
        <w:rPr>
          <w:sz w:val="20"/>
          <w:szCs w:val="20"/>
          <w:color w:val="auto"/>
        </w:rPr>
      </w:pPr>
      <w:r>
        <w:rPr>
          <w:rFonts w:ascii="Arial" w:cs="Arial" w:eastAsia="Arial" w:hAnsi="Arial"/>
          <w:sz w:val="16"/>
          <w:szCs w:val="16"/>
          <w:color w:val="auto"/>
        </w:rPr>
        <w:t>In connection with the quarterly report of Corsair Gaming, Inc. (the “Company”) on Form 10-Q for the quarter ended September 30, 2020 (the “Report”), Andrew J. Paul, Chief Executive Officer of the Company, and Michael G. Potter, Chief Financial Officer of the Company, each certify, to the best of his knowledge, pursuant to 18 U.S.C. Section 1350, as adopted pursuant to Section 906 of the Sarbanes-Oxley Act of 2002, that:</w:t>
      </w:r>
    </w:p>
    <w:p>
      <w:pPr>
        <w:spacing w:after="0" w:line="149" w:lineRule="exact"/>
        <w:rPr>
          <w:sz w:val="20"/>
          <w:szCs w:val="20"/>
          <w:color w:val="auto"/>
        </w:rPr>
      </w:pPr>
    </w:p>
    <w:p>
      <w:pPr>
        <w:ind w:left="1000" w:hanging="493"/>
        <w:spacing w:after="0"/>
        <w:tabs>
          <w:tab w:leader="none" w:pos="10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00" w:right="640" w:hanging="493"/>
        <w:spacing w:after="0" w:line="277" w:lineRule="auto"/>
        <w:tabs>
          <w:tab w:leader="none" w:pos="10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Date: November 10, 2020</w:t>
            </w:r>
          </w:p>
        </w:tc>
        <w:tc>
          <w:tcPr>
            <w:tcW w:w="2480" w:type="dxa"/>
            <w:vAlign w:val="bottom"/>
          </w:tcPr>
          <w:p>
            <w:pPr>
              <w:ind w:left="19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Andrew J. Paul</w:t>
            </w:r>
          </w:p>
        </w:tc>
      </w:tr>
      <w:tr>
        <w:trPr>
          <w:trHeight w:val="222"/>
        </w:trPr>
        <w:tc>
          <w:tcPr>
            <w:tcW w:w="38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0"/>
              </w:rPr>
              <w:t>Andrew J. Paul</w:t>
            </w:r>
          </w:p>
        </w:tc>
      </w:tr>
      <w:tr>
        <w:trPr>
          <w:trHeight w:val="216"/>
        </w:trPr>
        <w:tc>
          <w:tcPr>
            <w:tcW w:w="38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230"/>
        </w:trPr>
        <w:tc>
          <w:tcPr>
            <w:tcW w:w="38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918"/>
        </w:trPr>
        <w:tc>
          <w:tcPr>
            <w:tcW w:w="3820" w:type="dxa"/>
            <w:vAlign w:val="bottom"/>
          </w:tcPr>
          <w:p>
            <w:pPr>
              <w:spacing w:after="0"/>
              <w:rPr>
                <w:sz w:val="20"/>
                <w:szCs w:val="20"/>
                <w:color w:val="auto"/>
              </w:rPr>
            </w:pPr>
            <w:r>
              <w:rPr>
                <w:rFonts w:ascii="Arial" w:cs="Arial" w:eastAsia="Arial" w:hAnsi="Arial"/>
                <w:sz w:val="18"/>
                <w:szCs w:val="18"/>
                <w:color w:val="auto"/>
              </w:rPr>
              <w:t>Date: November 10, 2020</w:t>
            </w:r>
          </w:p>
        </w:tc>
        <w:tc>
          <w:tcPr>
            <w:tcW w:w="2480" w:type="dxa"/>
            <w:vAlign w:val="bottom"/>
          </w:tcPr>
          <w:p>
            <w:pPr>
              <w:ind w:left="19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Michael G. Potter</w:t>
            </w:r>
          </w:p>
        </w:tc>
      </w:tr>
      <w:tr>
        <w:trPr>
          <w:trHeight w:val="222"/>
        </w:trPr>
        <w:tc>
          <w:tcPr>
            <w:tcW w:w="38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2"/>
              </w:rPr>
              <w:t>Michael G. Potter</w:t>
            </w:r>
          </w:p>
        </w:tc>
      </w:tr>
      <w:tr>
        <w:trPr>
          <w:trHeight w:val="216"/>
        </w:trPr>
        <w:tc>
          <w:tcPr>
            <w:tcW w:w="38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38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bl>
    <w:p>
      <w:pPr>
        <w:spacing w:after="0" w:line="1" w:lineRule="exact"/>
        <w:rPr>
          <w:sz w:val="20"/>
          <w:szCs w:val="20"/>
          <w:color w:val="auto"/>
        </w:rPr>
      </w:pP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233C99"/>
    <w:multiLevelType w:val="hybridMultilevel"/>
    <w:lvl w:ilvl="0">
      <w:lvlJc w:val="left"/>
      <w:lvlText w:val="☒"/>
      <w:numFmt w:val="bullet"/>
      <w:start w:val="1"/>
    </w:lvl>
  </w:abstractNum>
  <w:abstractNum w:abstractNumId="1">
    <w:nsid w:val="3F6AB60F"/>
    <w:multiLevelType w:val="hybridMultilevel"/>
    <w:lvl w:ilvl="0">
      <w:lvlJc w:val="left"/>
      <w:lvlText w:val="☐"/>
      <w:numFmt w:val="bullet"/>
      <w:start w:val="1"/>
    </w:lvl>
  </w:abstractNum>
  <w:abstractNum w:abstractNumId="2">
    <w:nsid w:val="61574095"/>
    <w:multiLevelType w:val="hybridMultilevel"/>
    <w:lvl w:ilvl="0">
      <w:lvlJc w:val="left"/>
      <w:lvlText w:val="•"/>
      <w:numFmt w:val="bullet"/>
      <w:start w:val="1"/>
    </w:lvl>
  </w:abstractNum>
  <w:abstractNum w:abstractNumId="3">
    <w:nsid w:val="7E0C57B1"/>
    <w:multiLevelType w:val="hybridMultilevel"/>
    <w:lvl w:ilvl="0">
      <w:lvlJc w:val="left"/>
      <w:lvlText w:val="•"/>
      <w:numFmt w:val="bullet"/>
      <w:start w:val="1"/>
    </w:lvl>
  </w:abstractNum>
  <w:abstractNum w:abstractNumId="4">
    <w:nsid w:val="77AE35EB"/>
    <w:multiLevelType w:val="hybridMultilevel"/>
    <w:lvl w:ilvl="0">
      <w:lvlJc w:val="left"/>
      <w:lvlText w:val="(%1)"/>
      <w:numFmt w:val="decimal"/>
      <w:start w:val="1"/>
    </w:lvl>
  </w:abstractNum>
  <w:abstractNum w:abstractNumId="5">
    <w:nsid w:val="579BE4F1"/>
    <w:multiLevelType w:val="hybridMultilevel"/>
    <w:lvl w:ilvl="0">
      <w:lvlJc w:val="left"/>
      <w:lvlText w:val="(%1)"/>
      <w:numFmt w:val="decimal"/>
      <w:start w:val="1"/>
    </w:lvl>
  </w:abstractNum>
  <w:abstractNum w:abstractNumId="6">
    <w:nsid w:val="310C50B3"/>
    <w:multiLevelType w:val="hybridMultilevel"/>
    <w:lvl w:ilvl="0">
      <w:lvlJc w:val="left"/>
      <w:lvlText w:val="%1."/>
      <w:numFmt w:val="decimal"/>
      <w:start w:val="15"/>
    </w:lvl>
    <w:lvl w:ilvl="1">
      <w:lvlJc w:val="left"/>
      <w:lvlText w:val="•"/>
      <w:numFmt w:val="bullet"/>
      <w:start w:val="1"/>
    </w:lvl>
  </w:abstractNum>
  <w:abstractNum w:abstractNumId="7">
    <w:nsid w:val="5FF87E05"/>
    <w:multiLevelType w:val="hybridMultilevel"/>
    <w:lvl w:ilvl="0">
      <w:lvlJc w:val="left"/>
      <w:lvlText w:val="(%1)"/>
      <w:numFmt w:val="decimal"/>
      <w:start w:val="1"/>
    </w:lvl>
  </w:abstractNum>
  <w:abstractNum w:abstractNumId="8">
    <w:nsid w:val="2F305DEF"/>
    <w:multiLevelType w:val="hybridMultilevel"/>
    <w:lvl w:ilvl="0">
      <w:lvlJc w:val="left"/>
      <w:lvlText w:val="•"/>
      <w:numFmt w:val="bullet"/>
      <w:start w:val="1"/>
    </w:lvl>
  </w:abstractNum>
  <w:abstractNum w:abstractNumId="9">
    <w:nsid w:val="25A70BF7"/>
    <w:multiLevelType w:val="hybridMultilevel"/>
    <w:lvl w:ilvl="0">
      <w:lvlJc w:val="left"/>
      <w:lvlText w:val="•"/>
      <w:numFmt w:val="bullet"/>
      <w:start w:val="1"/>
    </w:lvl>
  </w:abstractNum>
  <w:abstractNum w:abstractNumId="10">
    <w:nsid w:val="1DBABF00"/>
    <w:multiLevelType w:val="hybridMultilevel"/>
    <w:lvl w:ilvl="0">
      <w:lvlJc w:val="left"/>
      <w:lvlText w:val="(%1)"/>
      <w:numFmt w:val="decimal"/>
      <w:start w:val="1"/>
    </w:lvl>
  </w:abstractNum>
  <w:abstractNum w:abstractNumId="11">
    <w:nsid w:val="4AD084E9"/>
    <w:multiLevelType w:val="hybridMultilevel"/>
    <w:lvl w:ilvl="0">
      <w:lvlJc w:val="left"/>
      <w:lvlText w:val="•"/>
      <w:numFmt w:val="bullet"/>
      <w:start w:val="1"/>
    </w:lvl>
  </w:abstractNum>
  <w:abstractNum w:abstractNumId="12">
    <w:nsid w:val="1F48EAA1"/>
    <w:multiLevelType w:val="hybridMultilevel"/>
    <w:lvl w:ilvl="0">
      <w:lvlJc w:val="left"/>
      <w:lvlText w:val="•"/>
      <w:numFmt w:val="bullet"/>
      <w:start w:val="1"/>
    </w:lvl>
  </w:abstractNum>
  <w:abstractNum w:abstractNumId="13">
    <w:nsid w:val="1381823A"/>
    <w:multiLevelType w:val="hybridMultilevel"/>
    <w:lvl w:ilvl="0">
      <w:lvlJc w:val="left"/>
      <w:lvlText w:val="•"/>
      <w:numFmt w:val="bullet"/>
      <w:start w:val="1"/>
    </w:lvl>
  </w:abstractNum>
  <w:abstractNum w:abstractNumId="14">
    <w:nsid w:val="5DB70AE5"/>
    <w:multiLevelType w:val="hybridMultilevel"/>
    <w:lvl w:ilvl="0">
      <w:lvlJc w:val="left"/>
      <w:lvlText w:val="•"/>
      <w:numFmt w:val="bullet"/>
      <w:start w:val="1"/>
    </w:lvl>
  </w:abstractNum>
  <w:abstractNum w:abstractNumId="15">
    <w:nsid w:val="100F8FCA"/>
    <w:multiLevelType w:val="hybridMultilevel"/>
    <w:lvl w:ilvl="0">
      <w:lvlJc w:val="left"/>
      <w:lvlText w:val="•"/>
      <w:numFmt w:val="bullet"/>
      <w:start w:val="1"/>
    </w:lvl>
  </w:abstractNum>
  <w:abstractNum w:abstractNumId="16">
    <w:nsid w:val="6590700B"/>
    <w:multiLevelType w:val="hybridMultilevel"/>
    <w:lvl w:ilvl="0">
      <w:lvlJc w:val="left"/>
      <w:lvlText w:val="•"/>
      <w:numFmt w:val="bullet"/>
      <w:start w:val="1"/>
    </w:lvl>
  </w:abstractNum>
  <w:abstractNum w:abstractNumId="17">
    <w:nsid w:val="15014ACB"/>
    <w:multiLevelType w:val="hybridMultilevel"/>
    <w:lvl w:ilvl="0">
      <w:lvlJc w:val="left"/>
      <w:lvlText w:val="•"/>
      <w:numFmt w:val="bullet"/>
      <w:start w:val="1"/>
    </w:lvl>
  </w:abstractNum>
  <w:abstractNum w:abstractNumId="18">
    <w:nsid w:val="5F5E7FD0"/>
    <w:multiLevelType w:val="hybridMultilevel"/>
    <w:lvl w:ilvl="0">
      <w:lvlJc w:val="left"/>
      <w:lvlText w:val="•"/>
      <w:numFmt w:val="bullet"/>
      <w:start w:val="1"/>
    </w:lvl>
  </w:abstractNum>
  <w:abstractNum w:abstractNumId="19">
    <w:nsid w:val="98A3148"/>
    <w:multiLevelType w:val="hybridMultilevel"/>
    <w:lvl w:ilvl="0">
      <w:lvlJc w:val="left"/>
      <w:lvlText w:val="•"/>
      <w:numFmt w:val="bullet"/>
      <w:start w:val="1"/>
    </w:lvl>
  </w:abstractNum>
  <w:abstractNum w:abstractNumId="20">
    <w:nsid w:val="799D0247"/>
    <w:multiLevelType w:val="hybridMultilevel"/>
    <w:lvl w:ilvl="0">
      <w:lvlJc w:val="left"/>
      <w:lvlText w:val="•"/>
      <w:numFmt w:val="bullet"/>
      <w:start w:val="1"/>
    </w:lvl>
  </w:abstractNum>
  <w:abstractNum w:abstractNumId="21">
    <w:nsid w:val="6B94764"/>
    <w:multiLevelType w:val="hybridMultilevel"/>
    <w:lvl w:ilvl="0">
      <w:lvlJc w:val="left"/>
      <w:lvlText w:val="•"/>
      <w:numFmt w:val="bullet"/>
      <w:start w:val="1"/>
    </w:lvl>
  </w:abstractNum>
  <w:abstractNum w:abstractNumId="22">
    <w:nsid w:val="42C296BD"/>
    <w:multiLevelType w:val="hybridMultilevel"/>
    <w:lvl w:ilvl="0">
      <w:lvlJc w:val="left"/>
      <w:lvlText w:val="•"/>
      <w:numFmt w:val="bullet"/>
      <w:start w:val="1"/>
    </w:lvl>
  </w:abstractNum>
  <w:abstractNum w:abstractNumId="23">
    <w:nsid w:val="168E121F"/>
    <w:multiLevelType w:val="hybridMultilevel"/>
    <w:lvl w:ilvl="0">
      <w:lvlJc w:val="left"/>
      <w:lvlText w:val="•"/>
      <w:numFmt w:val="bullet"/>
      <w:start w:val="1"/>
    </w:lvl>
  </w:abstractNum>
  <w:abstractNum w:abstractNumId="24">
    <w:nsid w:val="1EBA5D23"/>
    <w:multiLevelType w:val="hybridMultilevel"/>
    <w:lvl w:ilvl="0">
      <w:lvlJc w:val="left"/>
      <w:lvlText w:val="•"/>
      <w:numFmt w:val="bullet"/>
      <w:start w:val="1"/>
    </w:lvl>
  </w:abstractNum>
  <w:abstractNum w:abstractNumId="25">
    <w:nsid w:val="661E3F1E"/>
    <w:multiLevelType w:val="hybridMultilevel"/>
    <w:lvl w:ilvl="0">
      <w:lvlJc w:val="left"/>
      <w:lvlText w:val="•"/>
      <w:numFmt w:val="bullet"/>
      <w:start w:val="1"/>
    </w:lvl>
  </w:abstractNum>
  <w:abstractNum w:abstractNumId="26">
    <w:nsid w:val="5DC79EA8"/>
    <w:multiLevelType w:val="hybridMultilevel"/>
    <w:lvl w:ilvl="0">
      <w:lvlJc w:val="left"/>
      <w:lvlText w:val="•"/>
      <w:numFmt w:val="bullet"/>
      <w:start w:val="1"/>
    </w:lvl>
  </w:abstractNum>
  <w:abstractNum w:abstractNumId="27">
    <w:nsid w:val="540A471C"/>
    <w:multiLevelType w:val="hybridMultilevel"/>
    <w:lvl w:ilvl="0">
      <w:lvlJc w:val="left"/>
      <w:lvlText w:val="•"/>
      <w:numFmt w:val="bullet"/>
      <w:start w:val="1"/>
    </w:lvl>
  </w:abstractNum>
  <w:abstractNum w:abstractNumId="28">
    <w:nsid w:val="7BD3EE7B"/>
    <w:multiLevelType w:val="hybridMultilevel"/>
    <w:lvl w:ilvl="0">
      <w:lvlJc w:val="left"/>
      <w:lvlText w:val="•"/>
      <w:numFmt w:val="bullet"/>
      <w:start w:val="1"/>
    </w:lvl>
  </w:abstractNum>
  <w:abstractNum w:abstractNumId="29">
    <w:nsid w:val="51D9C564"/>
    <w:multiLevelType w:val="hybridMultilevel"/>
    <w:lvl w:ilvl="0">
      <w:lvlJc w:val="left"/>
      <w:lvlText w:val="•"/>
      <w:numFmt w:val="bullet"/>
      <w:start w:val="1"/>
    </w:lvl>
  </w:abstractNum>
  <w:abstractNum w:abstractNumId="30">
    <w:nsid w:val="613EFDC5"/>
    <w:multiLevelType w:val="hybridMultilevel"/>
    <w:lvl w:ilvl="0">
      <w:lvlJc w:val="left"/>
      <w:lvlText w:val="(%1)"/>
      <w:numFmt w:val="lowerLetter"/>
      <w:start w:val="4"/>
    </w:lvl>
  </w:abstractNum>
  <w:abstractNum w:abstractNumId="31">
    <w:nsid w:val="BF72B14"/>
    <w:multiLevelType w:val="hybridMultilevel"/>
    <w:lvl w:ilvl="0">
      <w:lvlJc w:val="left"/>
      <w:lvlText w:val="%1)"/>
      <w:numFmt w:val="decimal"/>
      <w:start w:val="1"/>
    </w:lvl>
  </w:abstractNum>
  <w:abstractNum w:abstractNumId="32">
    <w:nsid w:val="11447B73"/>
    <w:multiLevelType w:val="hybridMultilevel"/>
    <w:lvl w:ilvl="0">
      <w:lvlJc w:val="left"/>
      <w:lvlText w:val="#"/>
      <w:numFmt w:val="bullet"/>
      <w:start w:val="1"/>
    </w:lvl>
  </w:abstractNum>
  <w:abstractNum w:abstractNumId="33">
    <w:nsid w:val="42963E5A"/>
    <w:multiLevelType w:val="hybridMultilevel"/>
    <w:lvl w:ilvl="0">
      <w:lvlJc w:val="left"/>
      <w:lvlText w:val="*"/>
      <w:numFmt w:val="bullet"/>
      <w:start w:val="1"/>
    </w:lvl>
  </w:abstractNum>
  <w:abstractNum w:abstractNumId="34">
    <w:nsid w:val="A0382C5"/>
    <w:multiLevelType w:val="hybridMultilevel"/>
    <w:lvl w:ilvl="0">
      <w:lvlJc w:val="left"/>
      <w:lvlText w:val="(%1)"/>
      <w:numFmt w:val="lowerLetter"/>
      <w:start w:val="7"/>
    </w:lvl>
  </w:abstractNum>
  <w:abstractNum w:abstractNumId="35">
    <w:nsid w:val="8F2B15E"/>
    <w:multiLevelType w:val="hybridMultilevel"/>
    <w:lvl w:ilvl="0">
      <w:lvlJc w:val="left"/>
      <w:lvlText w:val="(%1)"/>
      <w:numFmt w:val="lowerLetter"/>
      <w:start w:val="1"/>
    </w:lvl>
    <w:lvl w:ilvl="1">
      <w:lvlJc w:val="left"/>
      <w:lvlText w:val="-"/>
      <w:numFmt w:val="bullet"/>
      <w:start w:val="1"/>
    </w:lvl>
  </w:abstractNum>
  <w:abstractNum w:abstractNumId="36">
    <w:nsid w:val="1A32234B"/>
    <w:multiLevelType w:val="hybridMultilevel"/>
    <w:lvl w:ilvl="0">
      <w:lvlJc w:val="left"/>
      <w:lvlText w:val="(%1)"/>
      <w:numFmt w:val="lowerLetter"/>
      <w:start w:val="4"/>
    </w:lvl>
  </w:abstractNum>
  <w:abstractNum w:abstractNumId="37">
    <w:nsid w:val="3B0FD379"/>
    <w:multiLevelType w:val="hybridMultilevel"/>
    <w:lvl w:ilvl="0">
      <w:lvlJc w:val="left"/>
      <w:lvlText w:val="(%1)"/>
      <w:numFmt w:val="lowerLetter"/>
      <w:start w:val="1"/>
    </w:lvl>
  </w:abstractNum>
  <w:abstractNum w:abstractNumId="38">
    <w:nsid w:val="68EB2F63"/>
    <w:multiLevelType w:val="hybridMultilevel"/>
    <w:lvl w:ilvl="0">
      <w:lvlJc w:val="left"/>
      <w:lvlText w:val="(%1)"/>
      <w:numFmt w:val="lowerLetter"/>
      <w:start w:val="4"/>
    </w:lvl>
  </w:abstractNum>
  <w:abstractNum w:abstractNumId="39">
    <w:nsid w:val="4962813B"/>
    <w:multiLevelType w:val="hybridMultilevel"/>
    <w:lvl w:ilvl="0">
      <w:lvlJc w:val="left"/>
      <w:lvlText w:val="(%1)"/>
      <w:numFmt w:val="lowerLetter"/>
      <w:start w:val="1"/>
    </w:lvl>
  </w:abstractNum>
  <w:abstractNum w:abstractNumId="40">
    <w:nsid w:val="60B6DF70"/>
    <w:multiLevelType w:val="hybridMultilevel"/>
    <w:lvl w:ilvl="0">
      <w:lvlJc w:val="left"/>
      <w:lvlText w:val="(%1)"/>
      <w:numFmt w:val="lowerLetter"/>
      <w:start w:val="3"/>
    </w:lvl>
    <w:lvl w:ilvl="1">
      <w:lvlJc w:val="left"/>
      <w:lvlText w:val="(%2)"/>
      <w:numFmt w:val="lowerRoman"/>
      <w:start w:val="1"/>
    </w:lvl>
  </w:abstractNum>
  <w:abstractNum w:abstractNumId="41">
    <w:nsid w:val="6A5EE64"/>
    <w:multiLevelType w:val="hybridMultilevel"/>
    <w:lvl w:ilvl="0">
      <w:lvlJc w:val="left"/>
      <w:lvlText w:val="(%1)"/>
      <w:numFmt w:val="lowerLetter"/>
      <w:start w:val="1"/>
    </w:lvl>
  </w:abstractNum>
  <w:abstractNum w:abstractNumId="42">
    <w:nsid w:val="14330624"/>
    <w:multiLevelType w:val="hybridMultilevel"/>
    <w:lvl w:ilvl="0">
      <w:lvlJc w:val="left"/>
      <w:lvlText w:val="%1"/>
      <w:numFmt w:val="lowerLetter"/>
      <w:start w:val="1"/>
    </w:lvl>
    <w:lvl w:ilvl="1">
      <w:lvlJc w:val="left"/>
      <w:lvlText w:val="(%2)"/>
      <w:numFmt w:val="lowerLetter"/>
      <w:start w:val="1"/>
    </w:lvl>
  </w:abstractNum>
  <w:abstractNum w:abstractNumId="43">
    <w:nsid w:val="7FFFCA11"/>
    <w:multiLevelType w:val="hybridMultilevel"/>
    <w:lvl w:ilvl="0">
      <w:lvlJc w:val="left"/>
      <w:lvlText w:val="(%1)"/>
      <w:numFmt w:val="lowerLetter"/>
      <w:start w:val="35"/>
    </w:lvl>
    <w:lvl w:ilvl="1">
      <w:lvlJc w:val="left"/>
      <w:lvlText w:val="%2"/>
      <w:numFmt w:val="lowerLetter"/>
      <w:start w:val="1"/>
    </w:lvl>
  </w:abstractNum>
  <w:abstractNum w:abstractNumId="44">
    <w:nsid w:val="1A27709E"/>
    <w:multiLevelType w:val="hybridMultilevel"/>
    <w:lvl w:ilvl="0">
      <w:lvlJc w:val="left"/>
      <w:lvlText w:val="(%1)"/>
      <w:numFmt w:val="lowerLetter"/>
      <w:start w:val="22"/>
    </w:lvl>
    <w:lvl w:ilvl="1">
      <w:lvlJc w:val="left"/>
      <w:lvlText w:val="%2"/>
      <w:numFmt w:val="lowerLetter"/>
      <w:start w:val="1"/>
    </w:lvl>
  </w:abstractNum>
  <w:abstractNum w:abstractNumId="45">
    <w:nsid w:val="71EA1109"/>
    <w:multiLevelType w:val="hybridMultilevel"/>
    <w:lvl w:ilvl="0">
      <w:lvlJc w:val="left"/>
      <w:lvlText w:val="(%1)"/>
      <w:numFmt w:val="lowerLetter"/>
      <w:start w:val="1"/>
    </w:lvl>
  </w:abstractNum>
  <w:abstractNum w:abstractNumId="46">
    <w:nsid w:val="100F59DC"/>
    <w:multiLevelType w:val="hybridMultilevel"/>
    <w:lvl w:ilvl="0">
      <w:lvlJc w:val="left"/>
      <w:lvlText w:val="(%1)"/>
      <w:numFmt w:val="lowerLetter"/>
      <w:start w:val="1"/>
    </w:lvl>
  </w:abstractNum>
  <w:abstractNum w:abstractNumId="47">
    <w:nsid w:val="7FB7E0AA"/>
    <w:multiLevelType w:val="hybridMultilevel"/>
    <w:lvl w:ilvl="0">
      <w:lvlJc w:val="left"/>
      <w:lvlText w:val="(%1)"/>
      <w:numFmt w:val="lowerLetter"/>
      <w:start w:val="1"/>
    </w:lvl>
  </w:abstractNum>
  <w:abstractNum w:abstractNumId="48">
    <w:nsid w:val="6EB5BD4"/>
    <w:multiLevelType w:val="hybridMultilevel"/>
    <w:lvl w:ilvl="0">
      <w:lvlJc w:val="left"/>
      <w:lvlText w:val="(%1)"/>
      <w:numFmt w:val="lowerRoman"/>
      <w:start w:val="2"/>
    </w:lvl>
  </w:abstractNum>
  <w:abstractNum w:abstractNumId="49">
    <w:nsid w:val="6F6DD9AC"/>
    <w:multiLevelType w:val="hybridMultilevel"/>
    <w:lvl w:ilvl="0">
      <w:lvlJc w:val="left"/>
      <w:lvlText w:val="(%1)"/>
      <w:numFmt w:val="lowerLetter"/>
      <w:start w:val="1"/>
    </w:lvl>
  </w:abstractNum>
  <w:abstractNum w:abstractNumId="50">
    <w:nsid w:val="94211F2"/>
    <w:multiLevelType w:val="hybridMultilevel"/>
    <w:lvl w:ilvl="0">
      <w:lvlJc w:val="left"/>
      <w:lvlText w:val="(%1)"/>
      <w:numFmt w:val="lowerLetter"/>
      <w:start w:val="1"/>
    </w:lvl>
  </w:abstractNum>
  <w:abstractNum w:abstractNumId="51">
    <w:nsid w:val="885E1B"/>
    <w:multiLevelType w:val="hybridMultilevel"/>
    <w:lvl w:ilvl="0">
      <w:lvlJc w:val="left"/>
      <w:lvlText w:val="(%1)"/>
      <w:numFmt w:val="lowerRoman"/>
      <w:start w:val="1"/>
    </w:lvl>
  </w:abstractNum>
  <w:abstractNum w:abstractNumId="52">
    <w:nsid w:val="76272110"/>
    <w:multiLevelType w:val="hybridMultilevel"/>
    <w:lvl w:ilvl="0">
      <w:lvlJc w:val="left"/>
      <w:lvlText w:val="(%1)"/>
      <w:numFmt w:val="lowerLetter"/>
      <w:start w:val="1"/>
    </w:lvl>
  </w:abstractNum>
  <w:abstractNum w:abstractNumId="53">
    <w:nsid w:val="4C04A8AF"/>
    <w:multiLevelType w:val="hybridMultilevel"/>
    <w:lvl w:ilvl="0">
      <w:lvlJc w:val="left"/>
      <w:lvlText w:val="(%1)"/>
      <w:numFmt w:val="lowerLetter"/>
      <w:start w:val="3"/>
    </w:lvl>
  </w:abstractNum>
  <w:abstractNum w:abstractNumId="54">
    <w:nsid w:val="1716703B"/>
    <w:multiLevelType w:val="hybridMultilevel"/>
    <w:lvl w:ilvl="0">
      <w:lvlJc w:val="left"/>
      <w:lvlText w:val="(%1)"/>
      <w:numFmt w:val="upperLetter"/>
      <w:start w:val="1"/>
    </w:lvl>
  </w:abstractNum>
  <w:abstractNum w:abstractNumId="55">
    <w:nsid w:val="14E17E33"/>
    <w:multiLevelType w:val="hybridMultilevel"/>
    <w:lvl w:ilvl="0">
      <w:lvlJc w:val="left"/>
      <w:lvlText w:val="(%1)"/>
      <w:numFmt w:val="lowerLetter"/>
      <w:start w:val="1"/>
    </w:lvl>
  </w:abstractNum>
  <w:abstractNum w:abstractNumId="56">
    <w:nsid w:val="3222E7CD"/>
    <w:multiLevelType w:val="hybridMultilevel"/>
    <w:lvl w:ilvl="0">
      <w:lvlJc w:val="left"/>
      <w:lvlText w:val="(%1)"/>
      <w:numFmt w:val="lowerLetter"/>
      <w:start w:val="1"/>
    </w:lvl>
  </w:abstractNum>
  <w:abstractNum w:abstractNumId="57">
    <w:nsid w:val="74DE0EE3"/>
    <w:multiLevelType w:val="hybridMultilevel"/>
    <w:lvl w:ilvl="0">
      <w:lvlJc w:val="left"/>
      <w:lvlText w:val="(%1)"/>
      <w:numFmt w:val="lowerLetter"/>
      <w:start w:val="1"/>
    </w:lvl>
    <w:lvl w:ilvl="1">
      <w:lvlJc w:val="left"/>
      <w:lvlText w:val="(%2)"/>
      <w:numFmt w:val="lowerRoman"/>
      <w:start w:val="1"/>
    </w:lvl>
  </w:abstractNum>
  <w:abstractNum w:abstractNumId="58">
    <w:nsid w:val="68EBC550"/>
    <w:multiLevelType w:val="hybridMultilevel"/>
    <w:lvl w:ilvl="0">
      <w:lvlJc w:val="left"/>
      <w:lvlText w:val="%1"/>
      <w:numFmt w:val="decimal"/>
      <w:start w:val="1"/>
    </w:lvl>
    <w:lvl w:ilvl="1">
      <w:lvlJc w:val="left"/>
      <w:lvlText w:val="(%2)"/>
      <w:numFmt w:val="lowerLetter"/>
      <w:start w:val="1"/>
    </w:lvl>
  </w:abstractNum>
  <w:abstractNum w:abstractNumId="59">
    <w:nsid w:val="2DF6D648"/>
    <w:multiLevelType w:val="hybridMultilevel"/>
    <w:lvl w:ilvl="0">
      <w:lvlJc w:val="left"/>
      <w:lvlText w:val="(%1)"/>
      <w:numFmt w:val="decimal"/>
      <w:start w:val="1"/>
    </w:lvl>
    <w:lvl w:ilvl="1">
      <w:lvlJc w:val="left"/>
      <w:lvlText w:val="%2"/>
      <w:numFmt w:val="lowerLetter"/>
      <w:start w:val="1"/>
    </w:lvl>
  </w:abstractNum>
  <w:abstractNum w:abstractNumId="60">
    <w:nsid w:val="46B7D447"/>
    <w:multiLevelType w:val="hybridMultilevel"/>
    <w:lvl w:ilvl="0">
      <w:lvlJc w:val="left"/>
      <w:lvlText w:val="(%1)"/>
      <w:numFmt w:val="lowerLetter"/>
      <w:start w:val="4"/>
    </w:lvl>
  </w:abstractNum>
  <w:abstractNum w:abstractNumId="61">
    <w:nsid w:val="4A2AC315"/>
    <w:multiLevelType w:val="hybridMultilevel"/>
    <w:lvl w:ilvl="0">
      <w:lvlJc w:val="left"/>
      <w:lvlText w:val="(%1)"/>
      <w:numFmt w:val="lowerLetter"/>
      <w:start w:val="1"/>
    </w:lvl>
  </w:abstractNum>
  <w:abstractNum w:abstractNumId="62">
    <w:nsid w:val="39EE015C"/>
    <w:multiLevelType w:val="hybridMultilevel"/>
    <w:lvl w:ilvl="0">
      <w:lvlJc w:val="left"/>
      <w:lvlText w:val="%1"/>
      <w:numFmt w:val="lowerLetter"/>
      <w:start w:val="1"/>
    </w:lvl>
    <w:lvl w:ilvl="1">
      <w:lvlJc w:val="left"/>
      <w:lvlText w:val="(%2)"/>
      <w:numFmt w:val="lowerLetter"/>
      <w:start w:val="2"/>
    </w:lvl>
  </w:abstractNum>
  <w:abstractNum w:abstractNumId="63">
    <w:nsid w:val="57FC4FBB"/>
    <w:multiLevelType w:val="hybridMultilevel"/>
    <w:lvl w:ilvl="0">
      <w:lvlJc w:val="left"/>
      <w:lvlText w:val="(%1)"/>
      <w:numFmt w:val="lowerLetter"/>
      <w:start w:val="9"/>
    </w:lvl>
    <w:lvl w:ilvl="1">
      <w:lvlJc w:val="left"/>
      <w:lvlText w:val="%2"/>
      <w:numFmt w:val="lowerLetter"/>
      <w:start w:val="1"/>
    </w:lvl>
  </w:abstractNum>
  <w:abstractNum w:abstractNumId="64">
    <w:nsid w:val="CC1016F"/>
    <w:multiLevelType w:val="hybridMultilevel"/>
    <w:lvl w:ilvl="0">
      <w:lvlJc w:val="left"/>
      <w:lvlText w:val="(%1)"/>
      <w:numFmt w:val="lowerLetter"/>
      <w:start w:val="1"/>
    </w:lvl>
  </w:abstractNum>
  <w:abstractNum w:abstractNumId="65">
    <w:nsid w:val="43F18422"/>
    <w:multiLevelType w:val="hybridMultilevel"/>
    <w:lvl w:ilvl="0">
      <w:lvlJc w:val="left"/>
      <w:lvlText w:val="(%1)"/>
      <w:numFmt w:val="lowerLetter"/>
      <w:start w:val="1"/>
    </w:lvl>
  </w:abstractNum>
  <w:abstractNum w:abstractNumId="66">
    <w:nsid w:val="60EF0119"/>
    <w:multiLevelType w:val="hybridMultilevel"/>
    <w:lvl w:ilvl="0">
      <w:lvlJc w:val="left"/>
      <w:lvlText w:val="(%1)"/>
      <w:numFmt w:val="decimal"/>
      <w:start w:val="30"/>
    </w:lvl>
  </w:abstractNum>
  <w:abstractNum w:abstractNumId="67">
    <w:nsid w:val="26F324BA"/>
    <w:multiLevelType w:val="hybridMultilevel"/>
    <w:lvl w:ilvl="0">
      <w:lvlJc w:val="left"/>
      <w:lvlText w:val="(%1)"/>
      <w:numFmt w:val="lowerLetter"/>
      <w:start w:val="1"/>
    </w:lvl>
    <w:lvl w:ilvl="1">
      <w:lvlJc w:val="left"/>
      <w:lvlText w:val="(%2)"/>
      <w:numFmt w:val="lowerRoman"/>
      <w:start w:val="1"/>
    </w:lvl>
  </w:abstractNum>
  <w:abstractNum w:abstractNumId="68">
    <w:nsid w:val="7F01579B"/>
    <w:multiLevelType w:val="hybridMultilevel"/>
    <w:lvl w:ilvl="0">
      <w:lvlJc w:val="left"/>
      <w:lvlText w:val="%1"/>
      <w:numFmt w:val="lowerLetter"/>
      <w:start w:val="1"/>
    </w:lvl>
    <w:lvl w:ilvl="1">
      <w:lvlJc w:val="left"/>
      <w:lvlText w:val="(%2)"/>
      <w:numFmt w:val="lowerRoman"/>
      <w:start w:val="3"/>
    </w:lvl>
  </w:abstractNum>
  <w:abstractNum w:abstractNumId="69">
    <w:nsid w:val="49DA307D"/>
    <w:multiLevelType w:val="hybridMultilevel"/>
    <w:lvl w:ilvl="0">
      <w:lvlJc w:val="left"/>
      <w:lvlText w:val="(%1)"/>
      <w:numFmt w:val="lowerLetter"/>
      <w:start w:val="3"/>
    </w:lvl>
    <w:lvl w:ilvl="1">
      <w:lvlJc w:val="left"/>
      <w:lvlText w:val="%2"/>
      <w:numFmt w:val="lowerRoman"/>
      <w:start w:val="1"/>
    </w:lvl>
  </w:abstractNum>
  <w:abstractNum w:abstractNumId="70">
    <w:nsid w:val="7055A5F5"/>
    <w:multiLevelType w:val="hybridMultilevel"/>
    <w:lvl w:ilvl="0">
      <w:lvlJc w:val="left"/>
      <w:lvlText w:val="(%1)"/>
      <w:numFmt w:val="lowerLetter"/>
      <w:start w:val="1"/>
    </w:lvl>
    <w:lvl w:ilvl="1">
      <w:lvlJc w:val="left"/>
      <w:lvlText w:val="(%2)"/>
      <w:numFmt w:val="lowerRoman"/>
      <w:start w:val="1"/>
    </w:lvl>
  </w:abstractNum>
  <w:abstractNum w:abstractNumId="71">
    <w:nsid w:val="5FB8370B"/>
    <w:multiLevelType w:val="hybridMultilevel"/>
    <w:lvl w:ilvl="0">
      <w:lvlJc w:val="left"/>
      <w:lvlText w:val="(%1)"/>
      <w:numFmt w:val="lowerLetter"/>
      <w:start w:val="3"/>
    </w:lvl>
  </w:abstractNum>
  <w:abstractNum w:abstractNumId="72">
    <w:nsid w:val="50801EE1"/>
    <w:multiLevelType w:val="hybridMultilevel"/>
    <w:lvl w:ilvl="0">
      <w:lvlJc w:val="left"/>
      <w:lvlText w:val="(%1)"/>
      <w:numFmt w:val="lowerLetter"/>
      <w:start w:val="1"/>
    </w:lvl>
  </w:abstractNum>
  <w:abstractNum w:abstractNumId="73">
    <w:nsid w:val="488AC1A"/>
    <w:multiLevelType w:val="hybridMultilevel"/>
    <w:lvl w:ilvl="0">
      <w:lvlJc w:val="left"/>
      <w:lvlText w:val="(%1)"/>
      <w:numFmt w:val="lowerLetter"/>
      <w:start w:val="3"/>
    </w:lvl>
  </w:abstractNum>
  <w:abstractNum w:abstractNumId="74">
    <w:nsid w:val="5FB8011C"/>
    <w:multiLevelType w:val="hybridMultilevel"/>
    <w:lvl w:ilvl="0">
      <w:lvlJc w:val="left"/>
      <w:lvlText w:val="%1."/>
      <w:numFmt w:val="decimal"/>
      <w:start w:val="1"/>
    </w:lvl>
  </w:abstractNum>
  <w:abstractNum w:abstractNumId="75">
    <w:nsid w:val="6AA78F7F"/>
    <w:multiLevelType w:val="hybridMultilevel"/>
    <w:lvl w:ilvl="0">
      <w:lvlJc w:val="left"/>
      <w:lvlText w:val="%1."/>
      <w:numFmt w:val="decimal"/>
      <w:start w:val="2"/>
    </w:lvl>
    <w:lvl w:ilvl="1">
      <w:lvlJc w:val="left"/>
      <w:lvlText w:val="(%2)"/>
      <w:numFmt w:val="lowerLetter"/>
      <w:start w:val="1"/>
    </w:lvl>
  </w:abstractNum>
  <w:abstractNum w:abstractNumId="76">
    <w:nsid w:val="7672BD23"/>
    <w:multiLevelType w:val="hybridMultilevel"/>
    <w:lvl w:ilvl="0">
      <w:lvlJc w:val="left"/>
      <w:lvlText w:val="(%1)"/>
      <w:numFmt w:val="lowerLetter"/>
      <w:start w:val="2"/>
    </w:lvl>
  </w:abstractNum>
  <w:abstractNum w:abstractNumId="77">
    <w:nsid w:val="6FC75AF8"/>
    <w:multiLevelType w:val="hybridMultilevel"/>
    <w:lvl w:ilvl="0">
      <w:lvlJc w:val="left"/>
      <w:lvlText w:val="(%1)"/>
      <w:numFmt w:val="lowerLetter"/>
      <w:start w:val="3"/>
    </w:lvl>
    <w:lvl w:ilvl="1">
      <w:lvlJc w:val="left"/>
      <w:lvlText w:val="(%2)"/>
      <w:numFmt w:val="lowerRoman"/>
      <w:start w:val="1"/>
    </w:lvl>
  </w:abstractNum>
  <w:abstractNum w:abstractNumId="78">
    <w:nsid w:val="6A5F7029"/>
    <w:multiLevelType w:val="hybridMultilevel"/>
    <w:lvl w:ilvl="0">
      <w:lvlJc w:val="left"/>
      <w:lvlText w:val="%1."/>
      <w:numFmt w:val="decimal"/>
      <w:start w:val="1"/>
    </w:lvl>
  </w:abstractNum>
  <w:abstractNum w:abstractNumId="79">
    <w:nsid w:val="7D5E18F8"/>
    <w:multiLevelType w:val="hybridMultilevel"/>
    <w:lvl w:ilvl="0">
      <w:lvlJc w:val="left"/>
      <w:lvlText w:val="%1."/>
      <w:numFmt w:val="decimal"/>
      <w:start w:val="2"/>
    </w:lvl>
  </w:abstractNum>
  <w:abstractNum w:abstractNumId="80">
    <w:nsid w:val="5F3534A4"/>
    <w:multiLevelType w:val="hybridMultilevel"/>
    <w:lvl w:ilvl="0">
      <w:lvlJc w:val="left"/>
      <w:lvlText w:val="%1."/>
      <w:numFmt w:val="decimal"/>
      <w:start w:val="3"/>
    </w:lvl>
  </w:abstractNum>
  <w:abstractNum w:abstractNumId="81">
    <w:nsid w:val="73A1821B"/>
    <w:multiLevelType w:val="hybridMultilevel"/>
    <w:lvl w:ilvl="0">
      <w:lvlJc w:val="left"/>
      <w:lvlText w:val="%1."/>
      <w:numFmt w:val="decimal"/>
      <w:start w:val="4"/>
    </w:lvl>
  </w:abstractNum>
  <w:abstractNum w:abstractNumId="82">
    <w:nsid w:val="7DE67713"/>
    <w:multiLevelType w:val="hybridMultilevel"/>
    <w:lvl w:ilvl="0">
      <w:lvlJc w:val="left"/>
      <w:lvlText w:val="%1."/>
      <w:numFmt w:val="decimal"/>
      <w:start w:val="5"/>
    </w:lvl>
  </w:abstractNum>
  <w:abstractNum w:abstractNumId="83">
    <w:nsid w:val="555C55B5"/>
    <w:multiLevelType w:val="hybridMultilevel"/>
    <w:lvl w:ilvl="0">
      <w:lvlJc w:val="left"/>
      <w:lvlText w:val="(%1)"/>
      <w:numFmt w:val="lowerRoman"/>
      <w:start w:val="2"/>
    </w:lvl>
  </w:abstractNum>
  <w:abstractNum w:abstractNumId="84">
    <w:nsid w:val="3FA62ACA"/>
    <w:multiLevelType w:val="hybridMultilevel"/>
    <w:lvl w:ilvl="0">
      <w:lvlJc w:val="left"/>
      <w:lvlText w:val="%1."/>
      <w:numFmt w:val="decimal"/>
      <w:start w:val="6"/>
    </w:lvl>
    <w:lvl w:ilvl="1">
      <w:lvlJc w:val="left"/>
      <w:lvlText w:val="(%2)"/>
      <w:numFmt w:val="lowerLetter"/>
      <w:start w:val="1"/>
    </w:lvl>
  </w:abstractNum>
  <w:abstractNum w:abstractNumId="85">
    <w:nsid w:val="14FCE74E"/>
    <w:multiLevelType w:val="hybridMultilevel"/>
    <w:lvl w:ilvl="0">
      <w:lvlJc w:val="left"/>
      <w:lvlText w:val="%1."/>
      <w:numFmt w:val="decimal"/>
      <w:start w:val="7"/>
    </w:lvl>
  </w:abstractNum>
  <w:abstractNum w:abstractNumId="86">
    <w:nsid w:val="6A3DD3E8"/>
    <w:multiLevelType w:val="hybridMultilevel"/>
    <w:lvl w:ilvl="0">
      <w:lvlJc w:val="left"/>
      <w:lvlText w:val="(%1)"/>
      <w:numFmt w:val="lowerRoman"/>
      <w:start w:val="2"/>
    </w:lvl>
  </w:abstractNum>
  <w:abstractNum w:abstractNumId="87">
    <w:nsid w:val="71C91298"/>
    <w:multiLevelType w:val="hybridMultilevel"/>
    <w:lvl w:ilvl="0">
      <w:lvlJc w:val="left"/>
      <w:lvlText w:val="%1."/>
      <w:numFmt w:val="decimal"/>
      <w:start w:val="1"/>
    </w:lvl>
  </w:abstractNum>
  <w:abstractNum w:abstractNumId="88">
    <w:nsid w:val="9DAF632"/>
    <w:multiLevelType w:val="hybridMultilevel"/>
    <w:lvl w:ilvl="0">
      <w:lvlJc w:val="left"/>
      <w:lvlText w:val="%1."/>
      <w:numFmt w:val="decimal"/>
      <w:start w:val="2"/>
    </w:lvl>
  </w:abstractNum>
  <w:abstractNum w:abstractNumId="89">
    <w:nsid w:val="53299938"/>
    <w:multiLevelType w:val="hybridMultilevel"/>
    <w:lvl w:ilvl="0">
      <w:lvlJc w:val="left"/>
      <w:lvlText w:val="%1."/>
      <w:numFmt w:val="decimal"/>
      <w:start w:val="3"/>
    </w:lvl>
  </w:abstractNum>
  <w:abstractNum w:abstractNumId="90">
    <w:nsid w:val="1FBFE8E0"/>
    <w:multiLevelType w:val="hybridMultilevel"/>
    <w:lvl w:ilvl="0">
      <w:lvlJc w:val="left"/>
      <w:lvlText w:val="%1."/>
      <w:numFmt w:val="decimal"/>
      <w:start w:val="4"/>
    </w:lvl>
  </w:abstractNum>
  <w:abstractNum w:abstractNumId="91">
    <w:nsid w:val="5092CA79"/>
    <w:multiLevelType w:val="hybridMultilevel"/>
    <w:lvl w:ilvl="0">
      <w:lvlJc w:val="left"/>
      <w:lvlText w:val="%1."/>
      <w:numFmt w:val="decimal"/>
      <w:start w:val="1"/>
    </w:lvl>
  </w:abstractNum>
  <w:abstractNum w:abstractNumId="92">
    <w:nsid w:val="1D545C4D"/>
    <w:multiLevelType w:val="hybridMultilevel"/>
    <w:lvl w:ilvl="0">
      <w:lvlJc w:val="left"/>
      <w:lvlText w:val="%1."/>
      <w:numFmt w:val="decimal"/>
      <w:start w:val="2"/>
    </w:lvl>
  </w:abstractNum>
  <w:abstractNum w:abstractNumId="93">
    <w:nsid w:val="59ADEA3D"/>
    <w:multiLevelType w:val="hybridMultilevel"/>
    <w:lvl w:ilvl="0">
      <w:lvlJc w:val="left"/>
      <w:lvlText w:val="%1."/>
      <w:numFmt w:val="decimal"/>
      <w:start w:val="3"/>
    </w:lvl>
  </w:abstractNum>
  <w:abstractNum w:abstractNumId="94">
    <w:nsid w:val="288F1A34"/>
    <w:multiLevelType w:val="hybridMultilevel"/>
    <w:lvl w:ilvl="0">
      <w:lvlJc w:val="left"/>
      <w:lvlText w:val="%1."/>
      <w:numFmt w:val="decimal"/>
      <w:start w:val="4"/>
    </w:lvl>
  </w:abstractNum>
  <w:abstractNum w:abstractNumId="95">
    <w:nsid w:val="2A155DBC"/>
    <w:multiLevelType w:val="hybridMultilevel"/>
    <w:lvl w:ilvl="0">
      <w:lvlJc w:val="left"/>
      <w:lvlText w:val="%1."/>
      <w:numFmt w:val="decimal"/>
      <w:start w:val="5"/>
    </w:lvl>
  </w:abstractNum>
  <w:abstractNum w:abstractNumId="96">
    <w:nsid w:val="1D9F6E5F"/>
    <w:multiLevelType w:val="hybridMultilevel"/>
    <w:lvl w:ilvl="0">
      <w:lvlJc w:val="left"/>
      <w:lvlText w:val="%1."/>
      <w:numFmt w:val="decimal"/>
      <w:start w:val="7"/>
    </w:lvl>
  </w:abstractNum>
  <w:abstractNum w:abstractNumId="97">
    <w:nsid w:val="97E1B4E"/>
    <w:multiLevelType w:val="hybridMultilevel"/>
    <w:lvl w:ilvl="0">
      <w:lvlJc w:val="left"/>
      <w:lvlText w:val="%1."/>
      <w:numFmt w:val="decimal"/>
      <w:start w:val="8"/>
    </w:lvl>
  </w:abstractNum>
  <w:abstractNum w:abstractNumId="98">
    <w:nsid w:val="51088277"/>
    <w:multiLevelType w:val="hybridMultilevel"/>
    <w:lvl w:ilvl="0">
      <w:lvlJc w:val="left"/>
      <w:lvlText w:val="%1."/>
      <w:numFmt w:val="decimal"/>
      <w:start w:val="9"/>
    </w:lvl>
  </w:abstractNum>
  <w:abstractNum w:abstractNumId="99">
    <w:nsid w:val="1CA0C5FA"/>
    <w:multiLevelType w:val="hybridMultilevel"/>
    <w:lvl w:ilvl="0">
      <w:lvlJc w:val="left"/>
      <w:lvlText w:val="%1."/>
      <w:numFmt w:val="decimal"/>
      <w:start w:val="10"/>
    </w:lvl>
  </w:abstractNum>
  <w:abstractNum w:abstractNumId="100">
    <w:nsid w:val="53584BCB"/>
    <w:multiLevelType w:val="hybridMultilevel"/>
    <w:lvl w:ilvl="0">
      <w:lvlJc w:val="left"/>
      <w:lvlText w:val="%1."/>
      <w:numFmt w:val="decimal"/>
      <w:start w:val="11"/>
    </w:lvl>
  </w:abstractNum>
  <w:abstractNum w:abstractNumId="101">
    <w:nsid w:val="415E286C"/>
    <w:multiLevelType w:val="hybridMultilevel"/>
    <w:lvl w:ilvl="0">
      <w:lvlJc w:val="left"/>
      <w:lvlText w:val="%1."/>
      <w:numFmt w:val="decimal"/>
      <w:start w:val="12"/>
    </w:lvl>
  </w:abstractNum>
  <w:abstractNum w:abstractNumId="102">
    <w:nsid w:val="7C58FD05"/>
    <w:multiLevelType w:val="hybridMultilevel"/>
    <w:lvl w:ilvl="0">
      <w:lvlJc w:val="left"/>
      <w:lvlText w:val="%1."/>
      <w:numFmt w:val="decimal"/>
      <w:start w:val="1"/>
    </w:lvl>
  </w:abstractNum>
  <w:abstractNum w:abstractNumId="103">
    <w:nsid w:val="23D86AAC"/>
    <w:multiLevelType w:val="hybridMultilevel"/>
    <w:lvl w:ilvl="0">
      <w:lvlJc w:val="left"/>
      <w:lvlText w:val="%1."/>
      <w:numFmt w:val="decimal"/>
      <w:start w:val="2"/>
    </w:lvl>
  </w:abstractNum>
  <w:abstractNum w:abstractNumId="104">
    <w:nsid w:val="45E6D486"/>
    <w:multiLevelType w:val="hybridMultilevel"/>
    <w:lvl w:ilvl="0">
      <w:lvlJc w:val="left"/>
      <w:lvlText w:val="%1."/>
      <w:numFmt w:val="decimal"/>
      <w:start w:val="3"/>
    </w:lvl>
  </w:abstractNum>
  <w:abstractNum w:abstractNumId="105">
    <w:nsid w:val="5C10FE21"/>
    <w:multiLevelType w:val="hybridMultilevel"/>
    <w:lvl w:ilvl="0">
      <w:lvlJc w:val="left"/>
      <w:lvlText w:val="%1."/>
      <w:numFmt w:val="decimal"/>
      <w:start w:val="1"/>
    </w:lvl>
  </w:abstractNum>
  <w:abstractNum w:abstractNumId="106">
    <w:nsid w:val="E7FFA2B"/>
    <w:multiLevelType w:val="hybridMultilevel"/>
    <w:lvl w:ilvl="0">
      <w:lvlJc w:val="left"/>
      <w:lvlText w:val="%1."/>
      <w:numFmt w:val="decimal"/>
      <w:start w:val="2"/>
    </w:lvl>
  </w:abstractNum>
  <w:abstractNum w:abstractNumId="107">
    <w:nsid w:val="3C5991AA"/>
    <w:multiLevelType w:val="hybridMultilevel"/>
    <w:lvl w:ilvl="0">
      <w:lvlJc w:val="left"/>
      <w:lvlText w:val="%1."/>
      <w:numFmt w:val="decimal"/>
      <w:start w:val="1"/>
    </w:lvl>
  </w:abstractNum>
  <w:abstractNum w:abstractNumId="108">
    <w:nsid w:val="4BD8591A"/>
    <w:multiLevelType w:val="hybridMultilevel"/>
    <w:lvl w:ilvl="0">
      <w:lvlJc w:val="left"/>
      <w:lvlText w:val="%1."/>
      <w:numFmt w:val="decimal"/>
      <w:start w:val="2"/>
    </w:lvl>
    <w:lvl w:ilvl="1">
      <w:lvlJc w:val="left"/>
      <w:lvlText w:val="(%2)"/>
      <w:numFmt w:val="lowerLetter"/>
      <w:start w:val="1"/>
    </w:lvl>
  </w:abstractNum>
  <w:abstractNum w:abstractNumId="109">
    <w:nsid w:val="78DF6A55"/>
    <w:multiLevelType w:val="hybridMultilevel"/>
    <w:lvl w:ilvl="0">
      <w:lvlJc w:val="left"/>
      <w:lvlText w:val="%1."/>
      <w:numFmt w:val="decimal"/>
      <w:start w:val="1"/>
    </w:lvl>
    <w:lvl w:ilvl="1">
      <w:lvlJc w:val="left"/>
      <w:lvlText w:val="(%2)"/>
      <w:numFmt w:val="lowerLetter"/>
      <w:start w:val="1"/>
    </w:lvl>
  </w:abstractNum>
  <w:abstractNum w:abstractNumId="110">
    <w:nsid w:val="39B7AAA2"/>
    <w:multiLevelType w:val="hybridMultilevel"/>
    <w:lvl w:ilvl="0">
      <w:lvlJc w:val="left"/>
      <w:lvlText w:val="%1."/>
      <w:numFmt w:val="decimal"/>
      <w:start w:val="3"/>
    </w:lvl>
  </w:abstractNum>
  <w:abstractNum w:abstractNumId="111">
    <w:nsid w:val="2B0D8DBE"/>
    <w:multiLevelType w:val="hybridMultilevel"/>
    <w:lvl w:ilvl="0">
      <w:lvlJc w:val="left"/>
      <w:lvlText w:val="%1"/>
      <w:numFmt w:val="decimal"/>
      <w:start w:val="1"/>
    </w:lvl>
    <w:lvl w:ilvl="1">
      <w:lvlJc w:val="left"/>
      <w:lvlText w:val="(%2)"/>
      <w:numFmt w:val="lowerLetter"/>
      <w:start w:val="2"/>
    </w:lvl>
  </w:abstractNum>
  <w:abstractNum w:abstractNumId="112">
    <w:nsid w:val="6C80EC70"/>
    <w:multiLevelType w:val="hybridMultilevel"/>
    <w:lvl w:ilvl="0">
      <w:lvlJc w:val="left"/>
      <w:lvlText w:val="%1."/>
      <w:numFmt w:val="decimal"/>
      <w:start w:val="4"/>
    </w:lvl>
    <w:lvl w:ilvl="1">
      <w:lvlJc w:val="left"/>
      <w:lvlText w:val="(%2)"/>
      <w:numFmt w:val="lowerLetter"/>
      <w:start w:val="1"/>
    </w:lvl>
  </w:abstractNum>
  <w:abstractNum w:abstractNumId="113">
    <w:nsid w:val="379E21B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4">
    <w:nsid w:val="69E373"/>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15">
    <w:nsid w:val="2C27173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16">
    <w:nsid w:val="4C9B0904"/>
    <w:multiLevelType w:val="hybridMultilevel"/>
    <w:lvl w:ilvl="0">
      <w:lvlJc w:val="left"/>
      <w:lvlText w:val="%1."/>
      <w:numFmt w:val="decimal"/>
      <w:start w:val="1"/>
    </w:lvl>
  </w:abstractNum>
  <w:abstractNum w:abstractNumId="117">
    <w:nsid w:val="6AA7B75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18">
    <w:nsid w:val="1DF029D3"/>
    <w:multiLevelType w:val="hybridMultilevel"/>
    <w:lvl w:ilvl="0">
      <w:lvlJc w:val="left"/>
      <w:lvlText w:val="%1."/>
      <w:numFmt w:val="decimal"/>
      <w:start w:val="1"/>
    </w:lvl>
    <w:lvl w:ilvl="1">
      <w:lvlJc w:val="left"/>
      <w:lvlText w:val="(%2)"/>
      <w:numFmt w:val="lowerLetter"/>
      <w:start w:val="1"/>
    </w:lvl>
  </w:abstractNum>
  <w:abstractNum w:abstractNumId="119">
    <w:nsid w:val="5675FF36"/>
    <w:multiLevelType w:val="hybridMultilevel"/>
    <w:lvl w:ilvl="0">
      <w:lvlJc w:val="left"/>
      <w:lvlText w:val="%1."/>
      <w:numFmt w:val="decimal"/>
      <w:start w:val="1"/>
    </w:lvl>
    <w:lvl w:ilvl="1">
      <w:lvlJc w:val="left"/>
      <w:lvlText w:val="(%2)"/>
      <w:numFmt w:val="lowerLetter"/>
      <w:start w:val="1"/>
    </w:lvl>
  </w:abstractNum>
  <w:abstractNum w:abstractNumId="120">
    <w:nsid w:val="3DD150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21" Type="http://schemas.openxmlformats.org/officeDocument/2006/relationships/image" Target="media/image101.png"/><Relationship Id="rId122" Type="http://schemas.openxmlformats.org/officeDocument/2006/relationships/image" Target="media/image102.png"/><Relationship Id="rId123" Type="http://schemas.openxmlformats.org/officeDocument/2006/relationships/image" Target="media/image103.png"/><Relationship Id="rId124" Type="http://schemas.openxmlformats.org/officeDocument/2006/relationships/image" Target="media/image104.png"/><Relationship Id="rId125" Type="http://schemas.openxmlformats.org/officeDocument/2006/relationships/image" Target="media/image105.png"/><Relationship Id="rId126" Type="http://schemas.openxmlformats.org/officeDocument/2006/relationships/image" Target="media/image106.png"/><Relationship Id="rId127" Type="http://schemas.openxmlformats.org/officeDocument/2006/relationships/image" Target="media/image107.png"/><Relationship Id="rId128" Type="http://schemas.openxmlformats.org/officeDocument/2006/relationships/image" Target="media/image108.png"/><Relationship Id="rId129" Type="http://schemas.openxmlformats.org/officeDocument/2006/relationships/image" Target="media/image109.png"/><Relationship Id="rId130" Type="http://schemas.openxmlformats.org/officeDocument/2006/relationships/image" Target="media/image110.png"/><Relationship Id="rId131" Type="http://schemas.openxmlformats.org/officeDocument/2006/relationships/image" Target="media/image111.png"/><Relationship Id="rId132" Type="http://schemas.openxmlformats.org/officeDocument/2006/relationships/image" Target="media/image112.png"/><Relationship Id="rId133" Type="http://schemas.openxmlformats.org/officeDocument/2006/relationships/image" Target="media/image113.png"/><Relationship Id="rId134" Type="http://schemas.openxmlformats.org/officeDocument/2006/relationships/image" Target="media/image114.png"/><Relationship Id="rId135" Type="http://schemas.openxmlformats.org/officeDocument/2006/relationships/image" Target="media/image115.png"/><Relationship Id="rId136" Type="http://schemas.openxmlformats.org/officeDocument/2006/relationships/image" Target="media/image116.png"/><Relationship Id="rId137" Type="http://schemas.openxmlformats.org/officeDocument/2006/relationships/image" Target="media/image117.png"/><Relationship Id="rId138" Type="http://schemas.openxmlformats.org/officeDocument/2006/relationships/image" Target="media/image118.png"/><Relationship Id="rId139" Type="http://schemas.openxmlformats.org/officeDocument/2006/relationships/image" Target="media/image119.png"/><Relationship Id="rId140" Type="http://schemas.openxmlformats.org/officeDocument/2006/relationships/image" Target="media/image120.png"/><Relationship Id="rId141" Type="http://schemas.openxmlformats.org/officeDocument/2006/relationships/image" Target="media/image121.png"/><Relationship Id="rId142" Type="http://schemas.openxmlformats.org/officeDocument/2006/relationships/image" Target="media/image122.png"/><Relationship Id="rId143" Type="http://schemas.openxmlformats.org/officeDocument/2006/relationships/image" Target="media/image123.png"/><Relationship Id="rId144" Type="http://schemas.openxmlformats.org/officeDocument/2006/relationships/image" Target="media/image124.png"/><Relationship Id="rId145" Type="http://schemas.openxmlformats.org/officeDocument/2006/relationships/image" Target="media/image125.png"/><Relationship Id="rId146" Type="http://schemas.openxmlformats.org/officeDocument/2006/relationships/image" Target="media/image126.png"/><Relationship Id="rId147" Type="http://schemas.openxmlformats.org/officeDocument/2006/relationships/image" Target="media/image127.png"/><Relationship Id="rId148" Type="http://schemas.openxmlformats.org/officeDocument/2006/relationships/image" Target="media/image128.png"/><Relationship Id="rId149" Type="http://schemas.openxmlformats.org/officeDocument/2006/relationships/image" Target="media/image129.png"/><Relationship Id="rId150" Type="http://schemas.openxmlformats.org/officeDocument/2006/relationships/image" Target="media/image130.png"/><Relationship Id="rId151" Type="http://schemas.openxmlformats.org/officeDocument/2006/relationships/image" Target="media/image131.png"/><Relationship Id="rId152" Type="http://schemas.openxmlformats.org/officeDocument/2006/relationships/image" Target="media/image132.png"/><Relationship Id="rId153" Type="http://schemas.openxmlformats.org/officeDocument/2006/relationships/image" Target="media/image133.png"/><Relationship Id="rId154" Type="http://schemas.openxmlformats.org/officeDocument/2006/relationships/image" Target="media/image134.png"/><Relationship Id="rId155" Type="http://schemas.openxmlformats.org/officeDocument/2006/relationships/image" Target="media/image135.png"/><Relationship Id="rId156" Type="http://schemas.openxmlformats.org/officeDocument/2006/relationships/image" Target="media/image136.png"/><Relationship Id="rId157" Type="http://schemas.openxmlformats.org/officeDocument/2006/relationships/image" Target="media/image137.png"/><Relationship Id="rId158" Type="http://schemas.openxmlformats.org/officeDocument/2006/relationships/image" Target="media/image138.png"/><Relationship Id="rId159" Type="http://schemas.openxmlformats.org/officeDocument/2006/relationships/image" Target="media/image139.png"/><Relationship Id="rId160" Type="http://schemas.openxmlformats.org/officeDocument/2006/relationships/image" Target="media/image140.png"/><Relationship Id="rId161" Type="http://schemas.openxmlformats.org/officeDocument/2006/relationships/image" Target="media/image141.png"/><Relationship Id="rId162" Type="http://schemas.openxmlformats.org/officeDocument/2006/relationships/image" Target="media/image142.png"/><Relationship Id="rId163" Type="http://schemas.openxmlformats.org/officeDocument/2006/relationships/image" Target="media/image143.png"/><Relationship Id="rId164" Type="http://schemas.openxmlformats.org/officeDocument/2006/relationships/image" Target="media/image144.png"/><Relationship Id="rId165" Type="http://schemas.openxmlformats.org/officeDocument/2006/relationships/image" Target="media/image145.png"/><Relationship Id="rId166" Type="http://schemas.openxmlformats.org/officeDocument/2006/relationships/image" Target="media/image146.png"/><Relationship Id="rId167" Type="http://schemas.openxmlformats.org/officeDocument/2006/relationships/image" Target="media/image147.png"/><Relationship Id="rId168" Type="http://schemas.openxmlformats.org/officeDocument/2006/relationships/image" Target="media/image148.png"/><Relationship Id="rId169" Type="http://schemas.openxmlformats.org/officeDocument/2006/relationships/image" Target="media/image149.png"/><Relationship Id="rId170" Type="http://schemas.openxmlformats.org/officeDocument/2006/relationships/image" Target="media/image150.png"/><Relationship Id="rId171" Type="http://schemas.openxmlformats.org/officeDocument/2006/relationships/image" Target="media/image151.png"/><Relationship Id="rId172" Type="http://schemas.openxmlformats.org/officeDocument/2006/relationships/image" Target="media/image152.png"/><Relationship Id="rId173" Type="http://schemas.openxmlformats.org/officeDocument/2006/relationships/image" Target="media/image153.png"/><Relationship Id="rId174" Type="http://schemas.openxmlformats.org/officeDocument/2006/relationships/image" Target="media/image154.png"/><Relationship Id="rId175" Type="http://schemas.openxmlformats.org/officeDocument/2006/relationships/image" Target="media/image155.png"/><Relationship Id="rId176" Type="http://schemas.openxmlformats.org/officeDocument/2006/relationships/image" Target="media/image156.png"/><Relationship Id="rId177" Type="http://schemas.openxmlformats.org/officeDocument/2006/relationships/image" Target="media/image157.png"/><Relationship Id="rId178" Type="http://schemas.openxmlformats.org/officeDocument/2006/relationships/image" Target="media/image158.png"/><Relationship Id="rId179" Type="http://schemas.openxmlformats.org/officeDocument/2006/relationships/image" Target="media/image159.png"/><Relationship Id="rId180" Type="http://schemas.openxmlformats.org/officeDocument/2006/relationships/image" Target="media/image160.png"/><Relationship Id="rId181" Type="http://schemas.openxmlformats.org/officeDocument/2006/relationships/image" Target="media/image161.png"/><Relationship Id="rId182" Type="http://schemas.openxmlformats.org/officeDocument/2006/relationships/image" Target="media/image162.png"/><Relationship Id="rId183" Type="http://schemas.openxmlformats.org/officeDocument/2006/relationships/image" Target="media/image163.png"/><Relationship Id="rId184" Type="http://schemas.openxmlformats.org/officeDocument/2006/relationships/image" Target="media/image164.png"/><Relationship Id="rId185" Type="http://schemas.openxmlformats.org/officeDocument/2006/relationships/image" Target="media/image165.png"/><Relationship Id="rId186" Type="http://schemas.openxmlformats.org/officeDocument/2006/relationships/image" Target="media/image166.png"/><Relationship Id="rId187" Type="http://schemas.openxmlformats.org/officeDocument/2006/relationships/image" Target="media/image167.png"/><Relationship Id="rId188" Type="http://schemas.openxmlformats.org/officeDocument/2006/relationships/image" Target="media/image168.png"/><Relationship Id="rId189" Type="http://schemas.openxmlformats.org/officeDocument/2006/relationships/image" Target="media/image169.png"/><Relationship Id="rId190" Type="http://schemas.openxmlformats.org/officeDocument/2006/relationships/image" Target="media/image170.png"/><Relationship Id="rId108" Type="http://schemas.openxmlformats.org/officeDocument/2006/relationships/hyperlink" Target="http://www.sec.gov/Archives/edgar/data/1743759/000119312520254569/d65933dex31.htm" TargetMode="External"/><Relationship Id="rId109" Type="http://schemas.openxmlformats.org/officeDocument/2006/relationships/hyperlink" Target="http://www.sec.gov/Archives/edgar/data/1743759/000119312520254569/d65933dex32.htm" TargetMode="External"/><Relationship Id="rId110" Type="http://schemas.openxmlformats.org/officeDocument/2006/relationships/hyperlink" Target="http://www.sec.gov/Archives/edgar/data/1743759/000119312520248527/d507744dex42.htm" TargetMode="External"/><Relationship Id="rId111" Type="http://schemas.openxmlformats.org/officeDocument/2006/relationships/hyperlink" Target="http://www.sec.gov/Archives/edgar/data/1743759/000119312520227100/d507744dex101.htm" TargetMode="External"/><Relationship Id="rId112" Type="http://schemas.openxmlformats.org/officeDocument/2006/relationships/hyperlink" Target="http://www.sec.gov/Archives/edgar/data/1743759/000119312520248527/d507744dex102.htm" TargetMode="External"/><Relationship Id="rId113" Type="http://schemas.openxmlformats.org/officeDocument/2006/relationships/hyperlink" Target="http://www.sec.gov/Archives/edgar/data/1743759/000119312520227100/d507744dex102a.htm" TargetMode="External"/><Relationship Id="rId114" Type="http://schemas.openxmlformats.org/officeDocument/2006/relationships/hyperlink" Target="http://www.sec.gov/Archives/edgar/data/1743759/000119312520227100/d507744dex102b.htm" TargetMode="External"/><Relationship Id="rId115" Type="http://schemas.openxmlformats.org/officeDocument/2006/relationships/hyperlink" Target="http://www.sec.gov/Archives/edgar/data/0001743759/000119312520244634/d507744dex103a.htm" TargetMode="External"/><Relationship Id="rId116" Type="http://schemas.openxmlformats.org/officeDocument/2006/relationships/hyperlink" Target="http://www.sec.gov/Archives/edgar/data/0001743759/000119312520244634/d507744dex103b.htm" TargetMode="External"/><Relationship Id="rId117" Type="http://schemas.openxmlformats.org/officeDocument/2006/relationships/hyperlink" Target="http://www.sec.gov/Archives/edgar/data/0001743759/000119312520244634/d507744dex103c.htm" TargetMode="External"/><Relationship Id="rId118" Type="http://schemas.openxmlformats.org/officeDocument/2006/relationships/hyperlink" Target="http://www.sec.gov/Archives/edgar/data/1743759/000119312520227100/d507744dex108a.htm" TargetMode="External"/><Relationship Id="rId119" Type="http://schemas.openxmlformats.org/officeDocument/2006/relationships/hyperlink" Target="http://www.sec.gov/Archives/edgar/data/1743759/000119312520227100/d507744dex1010.htm" TargetMode="External"/><Relationship Id="rId120" Type="http://schemas.openxmlformats.org/officeDocument/2006/relationships/hyperlink" Target="http://www.sec.gov/Archives/edgar/data/1743759/000119312520261460/d15383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2020-11-10T12:34:33Z</dcterms:created>
  <dcterms:modified xsi:type="dcterms:W3CDTF">2020-11-10T12:34:33Z</dcterms:modified>
</cp:coreProperties>
</file>