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_page">
        <w:bookmarkStart w:id="0" w:name="crsr-20230331.htm"/>
        <w:bookmarkStart w:id="1" w:name="kscrsr20230331"/>
        <w:bookmarkEnd w:id="0"/>
        <w:bookmarkEnd w:id="1"/>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120" w:after="0"/>
        <w:jc w:val="left"/>
        <w:rPr>
          <w:rFonts w:ascii="Times New Roman;serif" w:hAnsi="Times New Roman;serif"/>
          <w:b/>
          <w:sz w:val="14"/>
        </w:rPr>
      </w:pPr>
      <w:r>
        <w:rPr>
          <w:rFonts w:ascii="Times New Roman;serif" w:hAnsi="Times New Roman;serif"/>
          <w:b/>
          <w:sz w:val="14"/>
        </w:rPr>
        <w:t>(Mark One)</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4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QUARTERLY REPORT PURSUANT TO SECTION 13 OR 15(d) OF THE SECURITIES EXCHANGE ACT OF 1934</w:t>
            </w:r>
          </w:p>
        </w:tc>
      </w:tr>
    </w:tbl>
    <w:p>
      <w:pPr>
        <w:pStyle w:val="TextBody"/>
        <w:spacing w:before="120" w:after="0"/>
        <w:jc w:val="center"/>
        <w:rPr>
          <w:rFonts w:ascii="Times New Roman;serif" w:hAnsi="Times New Roman;serif"/>
          <w:b/>
          <w:sz w:val="18"/>
        </w:rPr>
      </w:pPr>
      <w:r>
        <w:rPr>
          <w:rFonts w:ascii="Times New Roman;serif" w:hAnsi="Times New Roman;serif"/>
          <w:b/>
          <w:sz w:val="18"/>
        </w:rPr>
        <w:t>For the quarterly period ended March 31, 2023</w:t>
      </w:r>
    </w:p>
    <w:p>
      <w:pPr>
        <w:pStyle w:val="TextBody"/>
        <w:spacing w:before="120" w:after="0"/>
        <w:jc w:val="center"/>
        <w:rPr>
          <w:rFonts w:ascii="Times New Roman;serif" w:hAnsi="Times New Roman;serif"/>
          <w:b/>
          <w:sz w:val="18"/>
        </w:rPr>
      </w:pPr>
      <w:r>
        <w:rPr>
          <w:rFonts w:ascii="Times New Roman;serif" w:hAnsi="Times New Roman;serif"/>
          <w:b/>
          <w:sz w:val="18"/>
        </w:rPr>
        <w:t>OR</w:t>
      </w:r>
    </w:p>
    <w:p>
      <w:pPr>
        <w:pStyle w:val="TextBody"/>
        <w:spacing w:before="0" w:after="0"/>
        <w:jc w:val="center"/>
        <w:rPr/>
      </w:pPr>
      <w:r>
        <w:rPr/>
        <w:t> </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4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TRANSITION REPORT PURSUANT TO SECTION 13 OR 15(d) OF THE SECURITIES EXCHANGE ACT OF 1934</w:t>
            </w:r>
          </w:p>
        </w:tc>
      </w:tr>
    </w:tbl>
    <w:p>
      <w:pPr>
        <w:pStyle w:val="TextBody"/>
        <w:spacing w:before="120" w:after="0"/>
        <w:jc w:val="center"/>
        <w:rPr>
          <w:rFonts w:ascii="Times New Roman;serif" w:hAnsi="Times New Roman;serif"/>
          <w:b/>
          <w:sz w:val="18"/>
        </w:rPr>
      </w:pPr>
      <w:r>
        <w:rPr>
          <w:rFonts w:ascii="Times New Roman;serif" w:hAnsi="Times New Roman;serif"/>
          <w:b/>
          <w:sz w:val="18"/>
        </w:rPr>
        <w:t>For the transition period from _________ to _________</w:t>
      </w:r>
    </w:p>
    <w:p>
      <w:pPr>
        <w:pStyle w:val="TextBody"/>
        <w:spacing w:before="120" w:after="0"/>
        <w:jc w:val="center"/>
        <w:rPr>
          <w:rFonts w:ascii="Times New Roman;serif" w:hAnsi="Times New Roman;serif"/>
          <w:b/>
          <w:sz w:val="18"/>
        </w:rPr>
      </w:pPr>
      <w:r>
        <w:rPr>
          <w:rFonts w:ascii="Times New Roman;serif" w:hAnsi="Times New Roman;serif"/>
          <w:b/>
          <w:sz w:val="18"/>
        </w:rPr>
        <w:t>Commission File Number: 001-39533</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44"/>
        </w:rPr>
      </w:pPr>
      <w:r>
        <w:rPr>
          <w:rFonts w:ascii="Times New Roman;serif" w:hAnsi="Times New Roman;serif"/>
          <w:b/>
          <w:sz w:val="44"/>
        </w:rPr>
        <w:t>Corsair Gaming, Inc.</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3107" w:type="dxa"/>
        <w:jc w:val="left"/>
        <w:tblInd w:w="0" w:type="dxa"/>
        <w:tblCellMar>
          <w:top w:w="28" w:type="dxa"/>
          <w:left w:w="28" w:type="dxa"/>
          <w:bottom w:w="28" w:type="dxa"/>
          <w:right w:w="28" w:type="dxa"/>
        </w:tblCellMar>
      </w:tblPr>
      <w:tblGrid>
        <w:gridCol w:w="1891"/>
        <w:gridCol w:w="1216"/>
      </w:tblGrid>
      <w:tr>
        <w:trPr/>
        <w:tc>
          <w:tcPr>
            <w:tcW w:w="1891"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82-2335306</w:t>
            </w:r>
          </w:p>
        </w:tc>
      </w:tr>
      <w:tr>
        <w:trPr/>
        <w:tc>
          <w:tcPr>
            <w:tcW w:w="1891" w:type="dxa"/>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(State or Other Jurisdiction of</w:t>
            </w:r>
          </w:p>
          <w:p>
            <w:pPr>
              <w:pStyle w:val="TableContents"/>
              <w:spacing w:before="0" w:after="15"/>
              <w:ind w:left="0" w:right="0" w:hanging="0"/>
              <w:jc w:val="center"/>
              <w:rPr>
                <w:rFonts w:ascii="Times New Roman;serif" w:hAnsi="Times New Roman;serif"/>
                <w:b w:val="false"/>
                <w:sz w:val="14"/>
              </w:rPr>
            </w:pPr>
            <w:r>
              <w:rPr>
                <w:rFonts w:ascii="Times New Roman;serif" w:hAnsi="Times New Roman;serif"/>
                <w:b w:val="false"/>
                <w:sz w:val="14"/>
              </w:rPr>
              <w:t>Incorporation or Organization)</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(I.R.S. Employer</w:t>
              <w:br/>
              <w:t>Identification No.)</w:t>
            </w:r>
          </w:p>
        </w:tc>
      </w:tr>
    </w:tbl>
    <w:p>
      <w:pPr>
        <w:pStyle w:val="TextBody"/>
        <w:spacing w:before="0" w:after="0"/>
        <w:jc w:val="center"/>
        <w:rPr/>
      </w:pPr>
      <w:r>
        <w:rPr/>
        <w:t> </w:t>
      </w:r>
    </w:p>
    <w:tbl>
      <w:tblPr>
        <w:tblW w:w="3315" w:type="dxa"/>
        <w:jc w:val="left"/>
        <w:tblInd w:w="0" w:type="dxa"/>
        <w:tblCellMar>
          <w:top w:w="28" w:type="dxa"/>
          <w:left w:w="28" w:type="dxa"/>
          <w:bottom w:w="28" w:type="dxa"/>
          <w:right w:w="28" w:type="dxa"/>
        </w:tblCellMar>
      </w:tblPr>
      <w:tblGrid>
        <w:gridCol w:w="1515"/>
        <w:gridCol w:w="1800"/>
      </w:tblGrid>
      <w:tr>
        <w:trPr/>
        <w:tc>
          <w:tcPr>
            <w:tcW w:w="1515"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r>
      <w:tr>
        <w:trPr/>
        <w:tc>
          <w:tcPr>
            <w:tcW w:w="3315" w:type="dxa"/>
            <w:gridSpan w:val="2"/>
            <w:tcBorders/>
            <w:shd w:fill="auto" w:val="clear"/>
            <w:vAlign w:val="center"/>
          </w:tcPr>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115 N. McCarthy Boulevard</w:t>
            </w:r>
          </w:p>
        </w:tc>
      </w:tr>
      <w:tr>
        <w:trPr/>
        <w:tc>
          <w:tcPr>
            <w:tcW w:w="3315"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Milpitas, CA</w:t>
            </w:r>
            <w:r>
              <w:rPr>
                <w:rFonts w:ascii="Times New Roman" w:hAnsi="Times New Roman"/>
                <w:sz w:val="20"/>
              </w:rPr>
              <w:t xml:space="preserve"> </w:t>
            </w:r>
            <w:r>
              <w:rPr>
                <w:rFonts w:ascii="Times New Roman;serif" w:hAnsi="Times New Roman;serif"/>
                <w:b/>
                <w:sz w:val="20"/>
              </w:rPr>
              <w:t>95035</w:t>
            </w:r>
          </w:p>
        </w:tc>
      </w:tr>
      <w:tr>
        <w:trPr/>
        <w:tc>
          <w:tcPr>
            <w:tcW w:w="33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(Address of Principal Executive Offices and zip code)</w:t>
            </w:r>
          </w:p>
        </w:tc>
      </w:tr>
      <w:tr>
        <w:trPr/>
        <w:tc>
          <w:tcPr>
            <w:tcW w:w="1515" w:type="dxa"/>
            <w:tcBorders/>
            <w:shd w:fill="auto" w:val="clear"/>
            <w:vAlign w:val="center"/>
          </w:tcPr>
          <w:p>
            <w:pPr>
              <w:pStyle w:val="TableContents"/>
              <w:spacing w:before="0" w:after="0"/>
              <w:ind w:left="0" w:right="0" w:hanging="0"/>
              <w:jc w:val="center"/>
              <w:rPr/>
            </w:pPr>
            <w:r>
              <w:rPr/>
              <w:t> </w:t>
            </w:r>
          </w:p>
        </w:tc>
        <w:tc>
          <w:tcPr>
            <w:tcW w:w="1800" w:type="dxa"/>
            <w:tcBorders/>
            <w:shd w:fill="auto" w:val="clear"/>
            <w:vAlign w:val="center"/>
          </w:tcPr>
          <w:p>
            <w:pPr>
              <w:pStyle w:val="TableContents"/>
              <w:spacing w:before="0" w:after="0"/>
              <w:ind w:left="0" w:right="0" w:hanging="0"/>
              <w:jc w:val="center"/>
              <w:rPr/>
            </w:pPr>
            <w:r>
              <w:rPr/>
              <w:t> </w:t>
            </w:r>
          </w:p>
        </w:tc>
      </w:tr>
      <w:tr>
        <w:trPr/>
        <w:tc>
          <w:tcPr>
            <w:tcW w:w="331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(510) 657-8747</w:t>
            </w:r>
          </w:p>
        </w:tc>
      </w:tr>
      <w:tr>
        <w:trPr/>
        <w:tc>
          <w:tcPr>
            <w:tcW w:w="33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(Registrant’s Telephone Number, Including Area Code)</w:t>
            </w:r>
          </w:p>
        </w:tc>
      </w:tr>
    </w:tbl>
    <w:p>
      <w:pPr>
        <w:pStyle w:val="TextBody"/>
        <w:spacing w:before="0" w:after="0"/>
        <w:jc w:val="center"/>
        <w:rPr/>
      </w:pPr>
      <w:r>
        <w:rPr/>
        <w:t> </w:t>
      </w:r>
    </w:p>
    <w:p>
      <w:pPr>
        <w:pStyle w:val="TextBody"/>
        <w:pBdr>
          <w:top w:val="single" w:sz="4" w:space="1" w:color="000000"/>
        </w:pBdr>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Not Applicable</w:t>
      </w:r>
    </w:p>
    <w:p>
      <w:pPr>
        <w:pStyle w:val="TextBody"/>
        <w:spacing w:before="0" w:after="0"/>
        <w:jc w:val="center"/>
        <w:rPr>
          <w:rFonts w:ascii="Times New Roman;serif" w:hAnsi="Times New Roman;serif"/>
          <w:b w:val="false"/>
          <w:sz w:val="14"/>
        </w:rPr>
      </w:pPr>
      <w:r>
        <w:rPr>
          <w:rFonts w:ascii="Times New Roman;serif" w:hAnsi="Times New Roman;serif"/>
          <w:b w:val="false"/>
          <w:sz w:val="14"/>
        </w:rPr>
        <w:t>(Former name, former address and former fiscal year,</w:t>
      </w:r>
    </w:p>
    <w:p>
      <w:pPr>
        <w:pStyle w:val="TextBody"/>
        <w:spacing w:before="0" w:after="0"/>
        <w:jc w:val="center"/>
        <w:rPr>
          <w:rFonts w:ascii="Times New Roman;serif" w:hAnsi="Times New Roman;serif"/>
          <w:b w:val="false"/>
          <w:sz w:val="14"/>
        </w:rPr>
      </w:pPr>
      <w:r>
        <w:rPr>
          <w:rFonts w:ascii="Times New Roman;serif" w:hAnsi="Times New Roman;serif"/>
          <w:b w:val="false"/>
          <w:sz w:val="14"/>
        </w:rPr>
        <w:t>if changed since last report)</w:t>
      </w:r>
    </w:p>
    <w:p>
      <w:pPr>
        <w:pStyle w:val="TextBody"/>
        <w:pBdr>
          <w:bottom w:val="single" w:sz="4"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spacing w:before="0" w:after="0"/>
        <w:jc w:val="left"/>
        <w:rPr/>
      </w:pPr>
      <w:r>
        <w:rPr/>
        <w:t> </w:t>
      </w:r>
    </w:p>
    <w:tbl>
      <w:tblPr>
        <w:tblW w:w="7510" w:type="dxa"/>
        <w:jc w:val="left"/>
        <w:tblInd w:w="0" w:type="dxa"/>
        <w:tblCellMar>
          <w:top w:w="28" w:type="dxa"/>
          <w:left w:w="28" w:type="dxa"/>
          <w:bottom w:w="28" w:type="dxa"/>
          <w:right w:w="28" w:type="dxa"/>
        </w:tblCellMar>
      </w:tblPr>
      <w:tblGrid>
        <w:gridCol w:w="3286"/>
        <w:gridCol w:w="146"/>
        <w:gridCol w:w="1231"/>
        <w:gridCol w:w="146"/>
        <w:gridCol w:w="270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Name of each exchange on which registered</w:t>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CRSR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Select Market</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2187" w:type="dxa"/>
            <w:gridSpan w:val="2"/>
            <w:tcBorders/>
            <w:shd w:fill="auto" w:val="clear"/>
            <w:vAlign w:val="center"/>
          </w:tcPr>
          <w:p>
            <w:pPr>
              <w:pStyle w:val="TableContents"/>
              <w:spacing w:before="0" w:after="0"/>
              <w:ind w:left="0" w:right="0" w:hanging="0"/>
              <w:jc w:val="left"/>
              <w:rPr/>
            </w:pPr>
            <w:r>
              <w:rPr/>
              <w:t> </w:t>
            </w:r>
          </w:p>
        </w:tc>
        <w:tc>
          <w:tcPr>
            <w:tcW w:w="507" w:type="dxa"/>
            <w:gridSpan w:val="2"/>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8"/>
        </w:rPr>
        <w:t>As of April 26, 2023, the registrant had 102,060,218</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toc_page"/>
      <w:bookmarkEnd w:id="2"/>
      <w:r>
        <w:rPr>
          <w:rFonts w:ascii="Times New Roman;serif" w:hAnsi="Times New Roman;serif"/>
          <w:b/>
          <w:sz w:val="20"/>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52"/>
        <w:gridCol w:w="8781"/>
        <w:gridCol w:w="572"/>
      </w:tblGrid>
      <w:tr>
        <w:trPr/>
        <w:tc>
          <w:tcPr>
            <w:tcW w:w="852" w:type="dxa"/>
            <w:tcBorders/>
            <w:shd w:fill="auto" w:val="clear"/>
            <w:vAlign w:val="center"/>
          </w:tcPr>
          <w:p>
            <w:pPr>
              <w:pStyle w:val="TableContents"/>
              <w:spacing w:before="0" w:after="283"/>
              <w:rPr>
                <w:sz w:val="4"/>
                <w:szCs w:val="4"/>
              </w:rPr>
            </w:pPr>
            <w:r>
              <w:rPr>
                <w:sz w:val="4"/>
                <w:szCs w:val="4"/>
              </w:rPr>
            </w:r>
          </w:p>
        </w:tc>
        <w:tc>
          <w:tcPr>
            <w:tcW w:w="878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52"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7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52"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 Three Months Ended March 31, 2023 and March 31, 2022</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52"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Loss - Three Months Ended March 31, 2023 and March 31, 2022</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52"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 As of March 31, 2023 and December 31, 2022</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stockholders_equ">
              <w:r>
                <w:rPr>
                  <w:rStyle w:val="InternetLink"/>
                  <w:rFonts w:ascii="Times New Roman;serif" w:hAnsi="Times New Roman;serif"/>
                  <w:b w:val="false"/>
                  <w:sz w:val="20"/>
                  <w:u w:val="single"/>
                </w:rPr>
                <w:t>Condensed Consolidated Statements of Shareholder’s Equity - Three Months Ended March 31, 2023 and March 31, 2022</w:t>
              </w:r>
            </w:hyperlink>
            <w:hyperlink w:anchor="consolidated_statements_stockholders_equ">
              <w:r>
                <w:rPr>
                  <w:rStyle w:val="InternetLink"/>
                  <w:rFonts w:ascii="Times New Roman" w:hAnsi="Times New Roman"/>
                  <w:sz w:val="20"/>
                </w:rPr>
                <w:t xml:space="preserve"> </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52"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 Three Months Ended March 31, 2023 and March 31, 2022</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52"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ia_risk_factor">
              <w:r>
                <w:rPr>
                  <w:rStyle w:val="InternetLink"/>
                  <w:rFonts w:ascii="Times New Roman;serif" w:hAnsi="Times New Roman;serif"/>
                  <w:b w:val="false"/>
                  <w:sz w:val="20"/>
                  <w:u w:val="single"/>
                </w:rPr>
                <w:t>Risk Factors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633"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NOTE ABOUT FORWARD-LOOKING STATEMENTS</w:t>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pStyle w:val="TextBody"/>
        <w:spacing w:before="120" w:after="0"/>
        <w:jc w:val="left"/>
        <w:rPr>
          <w:rFonts w:ascii="Times New Roman" w:hAnsi="Times New Roman"/>
          <w:sz w:val="20"/>
        </w:rPr>
      </w:pPr>
      <w:r>
        <w:rPr>
          <w:rFonts w:ascii="Times New Roman;serif" w:hAnsi="Times New Roman;serif"/>
          <w:b w:val="false"/>
          <w:sz w:val="20"/>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the heading “Risk Factors” in Part I, Item 1A of our Annual Report on Form 10-K for the year ended December 31, 2022.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3" w:name="part_ifinancial_information"/>
      <w:bookmarkEnd w:id="3"/>
      <w:r>
        <w:rPr>
          <w:rFonts w:ascii="Times New Roman;serif" w:hAnsi="Times New Roman;serif"/>
          <w:b/>
          <w:sz w:val="20"/>
        </w:rPr>
        <w:t>PART I—FINANCIAL INFORMATION</w:t>
      </w:r>
    </w:p>
    <w:p>
      <w:pPr>
        <w:pStyle w:val="TextBody"/>
        <w:spacing w:before="360" w:after="0"/>
        <w:jc w:val="left"/>
        <w:rPr>
          <w:rFonts w:ascii="Times New Roman;serif" w:hAnsi="Times New Roman;serif"/>
          <w:b/>
          <w:sz w:val="20"/>
        </w:rPr>
      </w:pPr>
      <w:bookmarkStart w:id="4" w:name="item_1_financial_statements"/>
      <w:bookmarkEnd w:id="4"/>
      <w:r>
        <w:rPr>
          <w:rFonts w:ascii="Times New Roman;serif" w:hAnsi="Times New Roman;serif"/>
          <w:b/>
          <w:sz w:val="20"/>
        </w:rPr>
        <w:t>Item 1.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(Unaudited, in thousands, except per share amounts)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73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353,964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380,691</w:t>
            </w:r>
          </w:p>
        </w:tc>
        <w:tc>
          <w:tcPr>
            <w:tcW w:w="411" w:type="dxa"/>
            <w:tcBorders/>
            <w:shd w:fill="auto" w:val="cle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268,560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289,935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90,756</w:t>
            </w:r>
          </w:p>
        </w:tc>
        <w:tc>
          <w:tcPr>
            <w:tcW w:w="411" w:type="dxa"/>
            <w:tcBorders/>
            <w:shd w:fill="auto" w:val="cle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76,131</w:t>
            </w:r>
          </w:p>
        </w:tc>
        <w:tc>
          <w:tcPr>
            <w:tcW w:w="411" w:type="dxa"/>
            <w:tcBorders/>
            <w:shd w:fill="auto" w:val="clear"/>
            <w:vAlign w:val="center"/>
          </w:tcPr>
          <w:p>
            <w:pPr>
              <w:pStyle w:val="TableContents"/>
              <w:spacing w:before="0" w:after="0"/>
              <w:ind w:left="0" w:right="0" w:firstLine="100"/>
              <w:jc w:val="left"/>
              <w:rPr/>
            </w:pPr>
            <w:r>
              <w:rPr/>
              <w:t> </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17,110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84,367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93,241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(1,279</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(4,263</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Calculation of net loss per share attributable to common stockholders of Corsair Gaming, Inc.:</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redemption value of redeemable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 of Corsair Gaming, Inc.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 of Corsair Gaming, Inc.:</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95,275</w:t>
            </w:r>
          </w:p>
        </w:tc>
        <w:tc>
          <w:tcPr>
            <w:tcW w:w="411" w:type="dxa"/>
            <w:tcBorders/>
            <w:shd w:fill="auto" w:val="clear"/>
            <w:vAlign w:val="center"/>
          </w:tcPr>
          <w:p>
            <w:pPr>
              <w:pStyle w:val="TableContents"/>
              <w:spacing w:before="0" w:after="0"/>
              <w:ind w:left="0" w:right="0" w:firstLine="100"/>
              <w:jc w:val="left"/>
              <w:rPr/>
            </w:pPr>
            <w:r>
              <w:rPr/>
              <w:t> </w:t>
            </w:r>
          </w:p>
        </w:tc>
      </w:tr>
      <w:tr>
        <w:trPr/>
        <w:tc>
          <w:tcPr>
            <w:tcW w:w="73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95,275</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spacing w:before="0" w:after="0"/>
        <w:jc w:val="center"/>
        <w:rPr>
          <w:rFonts w:ascii="Times New Roman;serif" w:hAnsi="Times New Roman;serif"/>
          <w:b/>
          <w:sz w:val="20"/>
        </w:rPr>
      </w:pPr>
      <w:bookmarkStart w:id="6" w:name="condensed_consolidated_statements_compre"/>
      <w:bookmarkEnd w:id="6"/>
      <w:r>
        <w:rPr>
          <w:rFonts w:ascii="Times New Roman;serif" w:hAnsi="Times New Roman;serif"/>
          <w:b/>
          <w:sz w:val="20"/>
        </w:rPr>
        <w:t>Condensed Consolidated Statements of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752"/>
        <w:gridCol w:w="146"/>
        <w:gridCol w:w="211"/>
        <w:gridCol w:w="631"/>
        <w:gridCol w:w="166"/>
        <w:gridCol w:w="146"/>
        <w:gridCol w:w="211"/>
        <w:gridCol w:w="631"/>
        <w:gridCol w:w="311"/>
      </w:tblGrid>
      <w:tr>
        <w:trPr/>
        <w:tc>
          <w:tcPr>
            <w:tcW w:w="77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7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11" w:type="dxa"/>
            <w:tcBorders/>
            <w:shd w:fill="auto" w:val="clear"/>
            <w:vAlign w:val="center"/>
          </w:tcPr>
          <w:p>
            <w:pPr>
              <w:pStyle w:val="TableContents"/>
              <w:spacing w:before="0" w:after="0"/>
              <w:ind w:left="0" w:right="0" w:hanging="0"/>
              <w:jc w:val="center"/>
              <w:rPr/>
            </w:pPr>
            <w:r>
              <w:rPr/>
              <w:t> </w:t>
            </w:r>
          </w:p>
        </w:tc>
      </w:tr>
      <w:tr>
        <w:trPr/>
        <w:tc>
          <w:tcPr>
            <w:tcW w:w="7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right"/>
              <w:rPr/>
            </w:pPr>
            <w:r>
              <w:rPr/>
              <w:t> </w:t>
            </w:r>
          </w:p>
        </w:tc>
      </w:tr>
      <w:tr>
        <w:trPr/>
        <w:tc>
          <w:tcPr>
            <w:tcW w:w="7752"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Foreign currency translation adjustments, net of tax (expense) benefit of $(18) and $151</w:t>
            </w:r>
            <w:r>
              <w:rPr>
                <w:rFonts w:ascii="Times New Roman" w:hAnsi="Times New Roman"/>
                <w:sz w:val="20"/>
              </w:rPr>
              <w:t> </w:t>
            </w:r>
            <w:r>
              <w:rPr>
                <w:rFonts w:ascii="Times New Roman;serif" w:hAnsi="Times New Roman;serif"/>
                <w:b w:val="false"/>
                <w:sz w:val="20"/>
              </w:rPr>
              <w:t>for the three months ended March 31, 2023 and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(2,258</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752"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Unrealized foreign exchange loss from long-term intercompany loans, net of tax (expense) benefit of $(127) and $19</w:t>
            </w:r>
            <w:r>
              <w:rPr>
                <w:rFonts w:ascii="Times New Roman" w:hAnsi="Times New Roman"/>
                <w:sz w:val="20"/>
              </w:rPr>
              <w:t> </w:t>
            </w:r>
            <w:r>
              <w:rPr>
                <w:rFonts w:ascii="Times New Roman;serif" w:hAnsi="Times New Roman;serif"/>
                <w:b w:val="false"/>
                <w:sz w:val="20"/>
              </w:rPr>
              <w:t>for the three months ended March 31, 2023 and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7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Comprehensive income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75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Comprehensive loss attributable to Corsair Gaming, Inc.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(5,027</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spacing w:before="4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sz w:val="20"/>
        </w:rPr>
      </w:pPr>
      <w:r>
        <w:rPr>
          <w:rFonts w:ascii="Times New Roman;serif" w:hAnsi="Times New Roman;serif"/>
          <w:b/>
          <w:sz w:val="20"/>
        </w:rPr>
        <w:t>Corsair Gaming, Inc.</w:t>
      </w:r>
    </w:p>
    <w:p>
      <w:pPr>
        <w:pStyle w:val="TextBody"/>
        <w:spacing w:before="0" w:after="0"/>
        <w:jc w:val="center"/>
        <w:rPr>
          <w:rFonts w:ascii="Times New Roman;serif" w:hAnsi="Times New Roman;serif"/>
          <w:b/>
          <w:sz w:val="20"/>
        </w:rPr>
      </w:pPr>
      <w:bookmarkStart w:id="7" w:name="condensed_consolidated_balance_sheets"/>
      <w:bookmarkEnd w:id="7"/>
      <w:r>
        <w:rPr>
          <w:rFonts w:ascii="Times New Roman;serif" w:hAnsi="Times New Roman;serif"/>
          <w:b/>
          <w:sz w:val="20"/>
        </w:rPr>
        <w:t>Condensed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(Unaudited, in thousands, except per share amounts)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20"/>
        <w:gridCol w:w="146"/>
        <w:gridCol w:w="211"/>
        <w:gridCol w:w="931"/>
        <w:gridCol w:w="166"/>
        <w:gridCol w:w="146"/>
        <w:gridCol w:w="220"/>
        <w:gridCol w:w="973"/>
        <w:gridCol w:w="392"/>
      </w:tblGrid>
      <w:tr>
        <w:trPr/>
        <w:tc>
          <w:tcPr>
            <w:tcW w:w="70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702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2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center"/>
              <w:rPr/>
            </w:pPr>
            <w:r>
              <w:rPr/>
              <w:t> </w:t>
            </w:r>
          </w:p>
        </w:tc>
        <w:tc>
          <w:tcPr>
            <w:tcW w:w="392" w:type="dxa"/>
            <w:tcBorders/>
            <w:shd w:fill="auto" w:val="clear"/>
            <w:vAlign w:val="center"/>
          </w:tcPr>
          <w:p>
            <w:pPr>
              <w:pStyle w:val="TableContents"/>
              <w:spacing w:before="0" w:after="0"/>
              <w:ind w:left="0" w:right="0" w:hanging="0"/>
              <w:jc w:val="center"/>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100"/>
              <w:jc w:val="righ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200"/>
              <w:jc w:val="righ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179,147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151,180</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2,647</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220,992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235,656</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192,717</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40,593</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632,970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622,793</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34,927</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348,210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347,747</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207,082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216,255</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75,290</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1,297,325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1,297,245</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100"/>
              <w:jc w:val="righ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200"/>
              <w:jc w:val="righ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Debt maturing within one year,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6,495</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188,035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172,033</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152,485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164,470</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348,892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342,998</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220,390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232,170</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18,054</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48,589</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633,016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641,811</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9)</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hanging="0"/>
              <w:jc w:val="righ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Temporary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100"/>
              <w:jc w:val="righ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Redeemable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21,367</w:t>
            </w:r>
          </w:p>
        </w:tc>
        <w:tc>
          <w:tcPr>
            <w:tcW w:w="392" w:type="dxa"/>
            <w:tcBorders/>
            <w:shd w:fill="auto" w:val="clear"/>
            <w:vAlign w:val="center"/>
          </w:tcPr>
          <w:p>
            <w:pPr>
              <w:pStyle w:val="TableContents"/>
              <w:spacing w:before="0" w:after="0"/>
              <w:ind w:left="0" w:right="0" w:hanging="0"/>
              <w:jc w:val="lef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Permanent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100"/>
              <w:jc w:val="righ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Corsair Gaming, Inc. stockholders’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200"/>
              <w:jc w:val="righ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5,000</w:t>
            </w:r>
            <w:r>
              <w:rPr>
                <w:rFonts w:ascii="Times New Roman" w:hAnsi="Times New Roman"/>
                <w:sz w:val="20"/>
              </w:rPr>
              <w:t> </w:t>
            </w:r>
            <w:r>
              <w:rPr>
                <w:rFonts w:ascii="Times New Roman;serif" w:hAnsi="Times New Roman;serif"/>
                <w:b w:val="false"/>
                <w:sz w:val="20"/>
              </w:rPr>
              <w:t>shares authorized, nil</w:t>
            </w:r>
            <w:r>
              <w:rPr>
                <w:rFonts w:ascii="Times New Roman" w:hAnsi="Times New Roman"/>
                <w:sz w:val="20"/>
              </w:rPr>
              <w:t> </w:t>
            </w:r>
            <w:r>
              <w:rPr>
                <w:rFonts w:ascii="Times New Roman;serif" w:hAnsi="Times New Roman;serif"/>
                <w:b w:val="false"/>
                <w:sz w:val="20"/>
              </w:rPr>
              <w:t>and nil</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300,000</w:t>
            </w:r>
            <w:r>
              <w:rPr>
                <w:rFonts w:ascii="Times New Roman" w:hAnsi="Times New Roman"/>
                <w:sz w:val="20"/>
              </w:rPr>
              <w:t> </w:t>
            </w:r>
            <w:r>
              <w:rPr>
                <w:rFonts w:ascii="Times New Roman;serif" w:hAnsi="Times New Roman;serif"/>
                <w:b w:val="false"/>
                <w:sz w:val="20"/>
              </w:rPr>
              <w:t>shares authorized, 102,017</w:t>
            </w:r>
            <w:r>
              <w:rPr>
                <w:rFonts w:ascii="Times New Roman" w:hAnsi="Times New Roman"/>
                <w:sz w:val="20"/>
              </w:rPr>
              <w:t> </w:t>
            </w:r>
            <w:r>
              <w:rPr>
                <w:rFonts w:ascii="Times New Roman;serif" w:hAnsi="Times New Roman;serif"/>
                <w:b w:val="false"/>
                <w:sz w:val="20"/>
              </w:rPr>
              <w:t>and 101,385</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602,368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593,486</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37,223</w:t>
            </w:r>
          </w:p>
        </w:tc>
        <w:tc>
          <w:tcPr>
            <w:tcW w:w="392" w:type="dxa"/>
            <w:tcBorders/>
            <w:shd w:fill="auto" w:val="clear"/>
            <w:vAlign w:val="center"/>
          </w:tcPr>
          <w:p>
            <w:pPr>
              <w:pStyle w:val="TableContents"/>
              <w:spacing w:before="0" w:after="0"/>
              <w:ind w:left="0" w:right="0" w:firstLine="200"/>
              <w:jc w:val="left"/>
              <w:rPr/>
            </w:pPr>
            <w:r>
              <w:rPr/>
              <w:t> </w:t>
            </w:r>
          </w:p>
        </w:tc>
      </w:tr>
      <w:tr>
        <w:trPr/>
        <w:tc>
          <w:tcPr>
            <w:tcW w:w="702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(6,881</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Corsair Gaming, Inc.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633,271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623,838</w:t>
            </w:r>
          </w:p>
        </w:tc>
        <w:tc>
          <w:tcPr>
            <w:tcW w:w="392" w:type="dxa"/>
            <w:tcBorders/>
            <w:shd w:fill="auto" w:val="clear"/>
            <w:vAlign w:val="center"/>
          </w:tcPr>
          <w:p>
            <w:pPr>
              <w:pStyle w:val="TableContents"/>
              <w:spacing w:before="0" w:after="0"/>
              <w:ind w:left="0" w:right="0" w:firstLine="100"/>
              <w:jc w:val="left"/>
              <w:rPr/>
            </w:pPr>
            <w:r>
              <w:rPr/>
              <w:t> </w:t>
            </w:r>
          </w:p>
        </w:tc>
      </w:tr>
      <w:tr>
        <w:trPr/>
        <w:tc>
          <w:tcPr>
            <w:tcW w:w="702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Nonredeemable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10,229</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permanent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643,663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634,067</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temporary equity and permanent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1,297,325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1,297,245</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spacing w:before="4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spacing w:before="0" w:after="0"/>
        <w:jc w:val="center"/>
        <w:rPr>
          <w:rFonts w:ascii="Times New Roman;serif" w:hAnsi="Times New Roman;serif"/>
          <w:b/>
          <w:sz w:val="20"/>
        </w:rPr>
      </w:pPr>
      <w:bookmarkStart w:id="8" w:name="consolidated_statements_stockholders_equ"/>
      <w:bookmarkEnd w:id="8"/>
      <w:r>
        <w:rPr>
          <w:rFonts w:ascii="Times New Roman;serif" w:hAnsi="Times New Roman;serif"/>
          <w:b/>
          <w:sz w:val="20"/>
        </w:rPr>
        <w:t>Condensed Consolidated Statements of 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spacing w:before="0" w:after="0"/>
        <w:jc w:val="left"/>
        <w:rPr/>
      </w:pPr>
      <w:r>
        <w:rPr/>
        <w:t> </w:t>
      </w:r>
    </w:p>
    <w:p>
      <w:pPr>
        <w:pStyle w:val="TextBody"/>
        <w:spacing w:before="40" w:after="0"/>
        <w:jc w:val="left"/>
        <w:rPr/>
      </w:pPr>
      <w:r>
        <w:rPr/>
        <w:t> </w:t>
      </w:r>
    </w:p>
    <w:tbl>
      <w:tblPr>
        <w:tblW w:w="11786" w:type="dxa"/>
        <w:jc w:val="left"/>
        <w:tblInd w:w="0" w:type="dxa"/>
        <w:tblCellMar>
          <w:top w:w="28" w:type="dxa"/>
          <w:left w:w="28" w:type="dxa"/>
          <w:bottom w:w="28" w:type="dxa"/>
          <w:right w:w="28" w:type="dxa"/>
        </w:tblCellMar>
      </w:tblPr>
      <w:tblGrid>
        <w:gridCol w:w="1186"/>
        <w:gridCol w:w="146"/>
        <w:gridCol w:w="146"/>
        <w:gridCol w:w="691"/>
        <w:gridCol w:w="166"/>
        <w:gridCol w:w="146"/>
        <w:gridCol w:w="271"/>
        <w:gridCol w:w="480"/>
        <w:gridCol w:w="146"/>
        <w:gridCol w:w="146"/>
        <w:gridCol w:w="205"/>
        <w:gridCol w:w="726"/>
        <w:gridCol w:w="166"/>
        <w:gridCol w:w="146"/>
        <w:gridCol w:w="199"/>
        <w:gridCol w:w="612"/>
        <w:gridCol w:w="166"/>
        <w:gridCol w:w="146"/>
        <w:gridCol w:w="333"/>
        <w:gridCol w:w="973"/>
        <w:gridCol w:w="166"/>
        <w:gridCol w:w="146"/>
        <w:gridCol w:w="245"/>
        <w:gridCol w:w="866"/>
        <w:gridCol w:w="166"/>
        <w:gridCol w:w="146"/>
        <w:gridCol w:w="321"/>
        <w:gridCol w:w="985"/>
        <w:gridCol w:w="146"/>
        <w:gridCol w:w="146"/>
        <w:gridCol w:w="209"/>
        <w:gridCol w:w="737"/>
        <w:gridCol w:w="311"/>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3"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 2023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 Corsair Gaming, Inc.</w:t>
              <w:br/>
              <w:t>Stockholders’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Nonredeemable</w:t>
              <w:br/>
              <w:t>Noncontrolling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br/>
              <w:t>Permanent</w:t>
            </w:r>
          </w:p>
        </w:tc>
        <w:tc>
          <w:tcPr>
            <w:tcW w:w="3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pPr>
            <w:r>
              <w:rPr/>
              <w:t> </w:t>
            </w:r>
          </w:p>
        </w:tc>
        <w:tc>
          <w:tcPr>
            <w:tcW w:w="3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101,385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593,486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37,223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623,838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634,067</w:t>
            </w:r>
          </w:p>
        </w:tc>
        <w:tc>
          <w:tcPr>
            <w:tcW w:w="311" w:type="dxa"/>
            <w:tcBorders/>
            <w:shd w:fill="auto" w:val="clear"/>
            <w:vAlign w:val="center"/>
          </w:tcPr>
          <w:p>
            <w:pPr>
              <w:pStyle w:val="TableContents"/>
              <w:spacing w:before="0" w:after="0"/>
              <w:ind w:left="0" w:right="0" w:firstLine="100"/>
              <w:jc w:val="left"/>
              <w:rPr/>
            </w:pPr>
            <w:r>
              <w:rPr/>
              <w:t> </w:t>
            </w:r>
          </w:p>
        </w:tc>
      </w:tr>
      <w:tr>
        <w:trPr/>
        <w:tc>
          <w:tcPr>
            <w:tcW w:w="1186"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1,619</w:t>
            </w:r>
          </w:p>
        </w:tc>
        <w:tc>
          <w:tcPr>
            <w:tcW w:w="311" w:type="dxa"/>
            <w:tcBorders/>
            <w:shd w:fill="auto" w:val="clear"/>
            <w:vAlign w:val="center"/>
          </w:tcPr>
          <w:p>
            <w:pPr>
              <w:pStyle w:val="TableContents"/>
              <w:spacing w:before="0" w:after="0"/>
              <w:ind w:left="0" w:right="0" w:firstLine="100"/>
              <w:jc w:val="left"/>
              <w:rPr/>
            </w:pPr>
            <w:r>
              <w:rPr/>
              <w:t> </w:t>
            </w:r>
          </w:p>
        </w:tc>
      </w:tr>
      <w:tr>
        <w:trPr/>
        <w:tc>
          <w:tcPr>
            <w:tcW w:w="1186"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Change in redemption value of redeemable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958</w:t>
            </w:r>
          </w:p>
        </w:tc>
        <w:tc>
          <w:tcPr>
            <w:tcW w:w="311" w:type="dxa"/>
            <w:tcBorders/>
            <w:shd w:fill="auto" w:val="clear"/>
            <w:vAlign w:val="center"/>
          </w:tcPr>
          <w:p>
            <w:pPr>
              <w:pStyle w:val="TableContents"/>
              <w:spacing w:before="0" w:after="0"/>
              <w:ind w:left="0" w:right="0" w:firstLine="100"/>
              <w:jc w:val="left"/>
              <w:rPr/>
            </w:pPr>
            <w:r>
              <w:rPr/>
              <w:t> </w:t>
            </w:r>
          </w:p>
        </w:tc>
      </w:tr>
      <w:tr>
        <w:trPr/>
        <w:tc>
          <w:tcPr>
            <w:tcW w:w="1186"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equity incentive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2,117</w:t>
            </w:r>
          </w:p>
        </w:tc>
        <w:tc>
          <w:tcPr>
            <w:tcW w:w="311" w:type="dxa"/>
            <w:tcBorders/>
            <w:shd w:fill="auto" w:val="clear"/>
            <w:vAlign w:val="center"/>
          </w:tcPr>
          <w:p>
            <w:pPr>
              <w:pStyle w:val="TableContents"/>
              <w:spacing w:before="0" w:after="0"/>
              <w:ind w:left="0" w:right="0" w:firstLine="100"/>
              <w:jc w:val="left"/>
              <w:rPr/>
            </w:pPr>
            <w:r>
              <w:rPr/>
              <w:t> </w:t>
            </w:r>
          </w:p>
        </w:tc>
      </w:tr>
      <w:tr>
        <w:trPr/>
        <w:tc>
          <w:tcPr>
            <w:tcW w:w="1186"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(556</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7,321</w:t>
            </w:r>
          </w:p>
        </w:tc>
        <w:tc>
          <w:tcPr>
            <w:tcW w:w="3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102,017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602,368</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36,169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(5,276</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633,271</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10,392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643,663</w:t>
            </w:r>
          </w:p>
        </w:tc>
        <w:tc>
          <w:tcPr>
            <w:tcW w:w="3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tbl>
      <w:tblPr>
        <w:tblW w:w="11731" w:type="dxa"/>
        <w:jc w:val="left"/>
        <w:tblInd w:w="0" w:type="dxa"/>
        <w:tblCellMar>
          <w:top w:w="28" w:type="dxa"/>
          <w:left w:w="28" w:type="dxa"/>
          <w:bottom w:w="28" w:type="dxa"/>
          <w:right w:w="28" w:type="dxa"/>
        </w:tblCellMar>
      </w:tblPr>
      <w:tblGrid>
        <w:gridCol w:w="1201"/>
        <w:gridCol w:w="146"/>
        <w:gridCol w:w="146"/>
        <w:gridCol w:w="601"/>
        <w:gridCol w:w="166"/>
        <w:gridCol w:w="146"/>
        <w:gridCol w:w="271"/>
        <w:gridCol w:w="480"/>
        <w:gridCol w:w="146"/>
        <w:gridCol w:w="146"/>
        <w:gridCol w:w="205"/>
        <w:gridCol w:w="726"/>
        <w:gridCol w:w="166"/>
        <w:gridCol w:w="146"/>
        <w:gridCol w:w="199"/>
        <w:gridCol w:w="612"/>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73"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 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 Corsair Gaming, Inc.</w:t>
              <w:br/>
              <w:t>Stockholders’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Nonredeemable</w:t>
              <w:br/>
              <w:t>Noncontrolling</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br/>
              <w:t>Permanent</w:t>
            </w:r>
          </w:p>
        </w:tc>
        <w:tc>
          <w:tcPr>
            <w:tcW w:w="311" w:type="dxa"/>
            <w:tcBorders/>
            <w:shd w:fill="auto" w:val="cle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Interest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94,510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470,364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98,147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568,180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568,180</w:t>
            </w:r>
          </w:p>
        </w:tc>
        <w:tc>
          <w:tcPr>
            <w:tcW w:w="311" w:type="dxa"/>
            <w:tcBorders/>
            <w:shd w:fill="auto" w:val="clear"/>
            <w:vAlign w:val="center"/>
          </w:tcPr>
          <w:p>
            <w:pPr>
              <w:pStyle w:val="TableContents"/>
              <w:spacing w:before="0" w:after="0"/>
              <w:ind w:left="0" w:right="0" w:firstLine="100"/>
              <w:jc w:val="left"/>
              <w:rPr/>
            </w:pPr>
            <w:r>
              <w:rPr/>
              <w:t> </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relation to business acquisition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14,505</w:t>
            </w:r>
          </w:p>
        </w:tc>
        <w:tc>
          <w:tcPr>
            <w:tcW w:w="311" w:type="dxa"/>
            <w:tcBorders/>
            <w:shd w:fill="auto" w:val="clear"/>
            <w:vAlign w:val="center"/>
          </w:tcPr>
          <w:p>
            <w:pPr>
              <w:pStyle w:val="TableContents"/>
              <w:spacing w:before="0" w:after="0"/>
              <w:ind w:left="0" w:right="0" w:firstLine="100"/>
              <w:jc w:val="left"/>
              <w:rPr/>
            </w:pPr>
            <w:r>
              <w:rPr/>
              <w:t> </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Noncontrolling interest from business combination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12,084</w:t>
            </w:r>
          </w:p>
        </w:tc>
        <w:tc>
          <w:tcPr>
            <w:tcW w:w="311" w:type="dxa"/>
            <w:tcBorders/>
            <w:shd w:fill="auto" w:val="clear"/>
            <w:vAlign w:val="center"/>
          </w:tcPr>
          <w:p>
            <w:pPr>
              <w:pStyle w:val="TableContents"/>
              <w:spacing w:before="0" w:after="0"/>
              <w:ind w:left="0" w:right="0" w:firstLine="100"/>
              <w:jc w:val="left"/>
              <w:rPr/>
            </w:pPr>
            <w:r>
              <w:rPr/>
              <w:t> </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(3,039</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(2,235</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Change in redemption value of redeemable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(2,261</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equity incentive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527</w:t>
            </w:r>
          </w:p>
        </w:tc>
        <w:tc>
          <w:tcPr>
            <w:tcW w:w="311" w:type="dxa"/>
            <w:tcBorders/>
            <w:shd w:fill="auto" w:val="clear"/>
            <w:vAlign w:val="center"/>
          </w:tcPr>
          <w:p>
            <w:pPr>
              <w:pStyle w:val="TableContents"/>
              <w:spacing w:before="0" w:after="0"/>
              <w:ind w:left="0" w:right="0" w:firstLine="100"/>
              <w:jc w:val="left"/>
              <w:rPr/>
            </w:pPr>
            <w:r>
              <w:rPr/>
              <w:t> </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(867</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120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5,217</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95,373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489,745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93,013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580,274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592,111</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condensed consolidated financial statements</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Corsair Gaming, Inc.</w:t>
      </w:r>
    </w:p>
    <w:p>
      <w:pPr>
        <w:pStyle w:val="TextBody"/>
        <w:spacing w:before="0" w:after="0"/>
        <w:jc w:val="center"/>
        <w:rPr>
          <w:rFonts w:ascii="Times New Roman;serif" w:hAnsi="Times New Roman;serif"/>
          <w:b/>
          <w:sz w:val="18"/>
        </w:rPr>
      </w:pPr>
      <w:bookmarkStart w:id="9" w:name="condensed_consolidated_statements_cash_f"/>
      <w:bookmarkEnd w:id="9"/>
      <w:r>
        <w:rPr>
          <w:rFonts w:ascii="Times New Roman;serif" w:hAnsi="Times New Roman;serif"/>
          <w:b/>
          <w:sz w:val="18"/>
        </w:rPr>
        <w:t>Condensed Consolidated Statements of Cash Flows</w:t>
      </w:r>
    </w:p>
    <w:p>
      <w:pPr>
        <w:pStyle w:val="TextBody"/>
        <w:spacing w:before="0" w:after="0"/>
        <w:jc w:val="center"/>
        <w:rPr>
          <w:rFonts w:ascii="Times New Roman;serif" w:hAnsi="Times New Roman;serif"/>
          <w:b/>
          <w:sz w:val="18"/>
        </w:rPr>
      </w:pPr>
      <w:r>
        <w:rPr>
          <w:rFonts w:ascii="Times New Roman;serif" w:hAnsi="Times New Roman;serif"/>
          <w:b/>
          <w:sz w:val="18"/>
        </w:rPr>
        <w:t>(Unaudited, in thousands)</w:t>
      </w:r>
    </w:p>
    <w:tbl>
      <w:tblPr>
        <w:tblW w:w="9899" w:type="dxa"/>
        <w:jc w:val="left"/>
        <w:tblInd w:w="0" w:type="dxa"/>
        <w:tblCellMar>
          <w:top w:w="28" w:type="dxa"/>
          <w:left w:w="28" w:type="dxa"/>
          <w:bottom w:w="28" w:type="dxa"/>
          <w:right w:w="28" w:type="dxa"/>
        </w:tblCellMar>
      </w:tblPr>
      <w:tblGrid>
        <w:gridCol w:w="7186"/>
        <w:gridCol w:w="146"/>
        <w:gridCol w:w="211"/>
        <w:gridCol w:w="781"/>
        <w:gridCol w:w="166"/>
        <w:gridCol w:w="146"/>
        <w:gridCol w:w="211"/>
        <w:gridCol w:w="841"/>
        <w:gridCol w:w="211"/>
      </w:tblGrid>
      <w:tr>
        <w:trPr/>
        <w:tc>
          <w:tcPr>
            <w:tcW w:w="7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7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5,147</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2,604</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10,138</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54,434</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(35,308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liabilities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(27,607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Acquisition of business,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(4,677</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(23,899</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Repayment of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Borrowing from line of credit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293,000</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Repayment of line of credit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(293,000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Payment of other offering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Payment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Proceeds from issuance of shares through employee equity incentive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Payment of taxes related to net share settlement of equity awards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(9,886</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restricted cash at the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154,060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restricted cash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182,053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cash flow disclosures: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(refunded) paid for income taxes,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4,354</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schedule of 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Equipment purchased and unpaid at period end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3,322</w:t>
            </w:r>
          </w:p>
        </w:tc>
        <w:tc>
          <w:tcPr>
            <w:tcW w:w="21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Right-of-use assets obtained in exchange for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18"/>
        </w:rPr>
      </w:pPr>
      <w:r>
        <w:rPr>
          <w:rFonts w:ascii="Times New Roman;serif" w:hAnsi="Times New Roman;serif"/>
          <w:b w:val="false"/>
          <w:i/>
          <w:sz w:val="18"/>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Corsair Gaming, Inc.</w:t>
      </w:r>
    </w:p>
    <w:p>
      <w:pPr>
        <w:pStyle w:val="TextBody"/>
        <w:spacing w:before="0" w:after="0"/>
        <w:jc w:val="center"/>
        <w:rPr>
          <w:rFonts w:ascii="Times New Roman;serif" w:hAnsi="Times New Roman;serif"/>
          <w:b/>
          <w:sz w:val="20"/>
        </w:rPr>
      </w:pPr>
      <w:bookmarkStart w:id="10" w:name="notes_to_condensed_consolidated_financia"/>
      <w:bookmarkEnd w:id="10"/>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240" w:after="0"/>
        <w:jc w:val="left"/>
        <w:rPr>
          <w:rFonts w:ascii="Times New Roman;serif" w:hAnsi="Times New Roman;serif"/>
          <w:b/>
          <w:sz w:val="20"/>
        </w:rPr>
      </w:pPr>
      <w:r>
        <w:rPr>
          <w:rFonts w:ascii="Times New Roman;serif" w:hAnsi="Times New Roman;serif"/>
          <w:b/>
          <w:sz w:val="20"/>
        </w:rPr>
        <w:t>1. Description of Business</w:t>
      </w:r>
    </w:p>
    <w:p>
      <w:pPr>
        <w:pStyle w:val="TextBody"/>
        <w:spacing w:before="120" w:after="0"/>
        <w:jc w:val="left"/>
        <w:rPr>
          <w:rFonts w:ascii="Times New Roman" w:hAnsi="Times New Roman"/>
          <w:sz w:val="20"/>
        </w:rPr>
      </w:pPr>
      <w:r>
        <w:rPr>
          <w:rFonts w:ascii="Times New Roman;serif" w:hAnsi="Times New Roman;serif"/>
          <w:b w:val="false"/>
          <w:sz w:val="20"/>
        </w:rPr>
        <w:t>Corsair Gaming, Inc., a Delaware corporation, together with its subsidiaries (collectively, “Corsair” the “Company”, “we”, “us”, or “our”), is a global provider and innovator of high-performance gear for gamers, streamers and content creators, many of which build their own PCs using our components.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Corsair is organized into two</w:t>
      </w:r>
      <w:r>
        <w:rPr>
          <w:rFonts w:ascii="Times New Roman" w:hAnsi="Times New Roman"/>
          <w:sz w:val="20"/>
        </w:rPr>
        <w:t xml:space="preserve"> </w:t>
      </w:r>
      <w:r>
        <w:rPr>
          <w:rFonts w:ascii="Times New Roman;serif" w:hAnsi="Times New Roman;serif"/>
          <w:b w:val="false"/>
          <w:sz w:val="20"/>
        </w:rPr>
        <w:t>reportable segments:</w:t>
      </w:r>
    </w:p>
    <w:p>
      <w:pPr>
        <w:pStyle w:val="TextBody"/>
        <w:spacing w:before="120" w:after="0"/>
        <w:jc w:val="left"/>
        <w:rPr/>
      </w:pPr>
      <w:r>
        <w:rPr/>
        <w:t>•</w:t>
      </w:r>
    </w:p>
    <w:p>
      <w:pPr>
        <w:pStyle w:val="TextBody"/>
        <w:spacing w:before="120" w:after="0"/>
        <w:jc w:val="left"/>
        <w:rPr>
          <w:rFonts w:ascii="Times New Roman;serif" w:hAnsi="Times New Roman;serif"/>
          <w:sz w:val="20"/>
        </w:rPr>
      </w:pPr>
      <w:r>
        <w:rPr>
          <w:rFonts w:ascii="Times New Roman;serif" w:hAnsi="Times New Roman;serif"/>
          <w:b/>
          <w:sz w:val="20"/>
        </w:rPr>
        <w:t>Gamer and creator peripherals</w:t>
      </w:r>
      <w:r>
        <w:rPr>
          <w:rFonts w:ascii="Times New Roman;serif" w:hAnsi="Times New Roman;serif"/>
          <w:b w:val="false"/>
          <w:sz w:val="20"/>
        </w:rPr>
        <w:t>. Includes our high-performance gaming keyboards, mice, headsets, controllers, and our streaming gear, which includes capture cards, Stream Decks, USB microphones, our Facecam streaming camera, studio accessories and EpocCam software, among others.</w:t>
      </w:r>
    </w:p>
    <w:p>
      <w:pPr>
        <w:pStyle w:val="TextBody"/>
        <w:spacing w:before="120" w:after="0"/>
        <w:jc w:val="left"/>
        <w:rPr/>
      </w:pPr>
      <w:r>
        <w:rPr/>
        <w:t>•</w:t>
      </w:r>
    </w:p>
    <w:p>
      <w:pPr>
        <w:pStyle w:val="TextBody"/>
        <w:spacing w:before="120" w:after="283"/>
        <w:jc w:val="left"/>
        <w:rPr>
          <w:rFonts w:ascii="Times New Roman;serif" w:hAnsi="Times New Roman;serif"/>
          <w:sz w:val="20"/>
        </w:rPr>
      </w:pPr>
      <w:r>
        <w:rPr>
          <w:rFonts w:ascii="Times New Roman;serif" w:hAnsi="Times New Roman;serif"/>
          <w:b/>
          <w:sz w:val="20"/>
        </w:rPr>
        <w:t>Gaming components and systems</w:t>
      </w:r>
      <w:r>
        <w:rPr>
          <w:rFonts w:ascii="Times New Roman;serif" w:hAnsi="Times New Roman;serif"/>
          <w:b w:val="false"/>
          <w:sz w:val="20"/>
        </w:rPr>
        <w:t>. Includes our high-performance power supply units, or PSUs, cooling solutions, computer cases, DRAM modules, as well as high-end prebuilt and custom-built gaming PCs and laptops, and gaming monitors, among others.</w:t>
      </w:r>
    </w:p>
    <w:p>
      <w:pPr>
        <w:pStyle w:val="TextBody"/>
        <w:spacing w:before="24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spacing w:before="12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Our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2022 which was filed with the SEC on February 27, 2023.</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condensed consolidated balance sheet as of December 31, 2022,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2022, included in our Annual Report on Form 10-K.</w:t>
      </w:r>
    </w:p>
    <w:p>
      <w:pPr>
        <w:pStyle w:val="TextBody"/>
        <w:spacing w:before="120" w:after="0"/>
        <w:jc w:val="left"/>
        <w:rPr>
          <w:rFonts w:ascii="Times New Roman" w:hAnsi="Times New Roman"/>
          <w:sz w:val="20"/>
        </w:rPr>
      </w:pPr>
      <w:r>
        <w:rPr>
          <w:rFonts w:ascii="Times New Roman;serif" w:hAnsi="Times New Roman;serif"/>
          <w:b w:val="false"/>
          <w:sz w:val="20"/>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March 31, 2023</w:t>
      </w:r>
      <w:r>
        <w:rPr>
          <w:rFonts w:ascii="Times New Roman" w:hAnsi="Times New Roman"/>
          <w:sz w:val="20"/>
        </w:rPr>
        <w:t xml:space="preserve"> </w:t>
      </w:r>
      <w:r>
        <w:rPr>
          <w:rFonts w:ascii="Times New Roman;serif" w:hAnsi="Times New Roman;serif"/>
          <w:b w:val="false"/>
          <w:sz w:val="20"/>
        </w:rPr>
        <w:t>and our results of operations for the three months ended March 31, 2023 and 2022. The results for the three months ended March 31, 2023 are not necessarily indicative of the results expected for the current fiscal year or any other future periods.</w:t>
      </w:r>
    </w:p>
    <w:p>
      <w:pPr>
        <w:pStyle w:val="TextBody"/>
        <w:spacing w:before="240" w:after="0"/>
        <w:jc w:val="left"/>
        <w:rPr>
          <w:rFonts w:ascii="Times New Roman;serif" w:hAnsi="Times New Roman;serif"/>
          <w:b/>
          <w:i/>
          <w:sz w:val="20"/>
        </w:rPr>
      </w:pPr>
      <w:r>
        <w:rPr>
          <w:rFonts w:ascii="Times New Roman;serif" w:hAnsi="Times New Roman;serif"/>
          <w:b/>
          <w:i/>
          <w:sz w:val="20"/>
        </w:rPr>
        <w:t>Principles of Consolidation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include the accounts of Corsair and its wholly-owned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w:t>
      </w:r>
    </w:p>
    <w:p>
      <w:pPr>
        <w:pStyle w:val="TextBody"/>
        <w:spacing w:before="120" w:after="0"/>
        <w:jc w:val="left"/>
        <w:rPr>
          <w:rFonts w:ascii="Times New Roman" w:hAnsi="Times New Roman"/>
          <w:sz w:val="20"/>
        </w:rPr>
      </w:pPr>
      <w:r>
        <w:rPr>
          <w:rFonts w:ascii="Times New Roman;serif" w:hAnsi="Times New Roman;serif"/>
          <w:b w:val="false"/>
          <w:sz w:val="20"/>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1, 2022 (the “Closing” or “Closing Date”), we completed the acquisition of a 51% ownership stake in Elgato iDisplay Holdings LTD. and its related companies (together “iDisplay”). (See Note 5, “Business Combination - iDisplay Acquisition” for more details on the iDisplay Acquisition). We have determined that iDisplay does not qualify as a VIE and Corsair has a controlling financial interest in iDisplay under the VOE model and therefore, iDisplay’s results of operations are fully consolidated with Corsair with effect from January 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spacing w:before="120" w:after="0"/>
        <w:jc w:val="left"/>
        <w:rPr>
          <w:rFonts w:ascii="Times New Roman" w:hAnsi="Times New Roman"/>
          <w:sz w:val="20"/>
        </w:rPr>
      </w:pPr>
      <w:r>
        <w:rPr>
          <w:rFonts w:ascii="Times New Roman;serif" w:hAnsi="Times New Roman;serif"/>
          <w:b w:val="false"/>
          <w:sz w:val="20"/>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These estimates and assumptions are based on management’s best estimates and judgment. Management evaluates its estimates and assumptions on an ongoing basis using historical experience and other factors, including the potential impacts from the events in the current economic environment and the events in Ukraine. We adjust such estimates and assumptions when facts and circumstances dictate. The extent to which the current macroeconomic factors and the development in Ukraine will impact our business going forward depends on numerous dynamic factors that we cannot reliably predict. Actual results could differ materially from those estimates.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i/>
          <w:sz w:val="20"/>
        </w:rPr>
      </w:pPr>
      <w:r>
        <w:rPr>
          <w:rFonts w:ascii="Times New Roman;serif" w:hAnsi="Times New Roman;serif"/>
          <w:b/>
          <w:i/>
          <w:sz w:val="20"/>
        </w:rPr>
        <w:t>Accounting Pronouncements Issued but Not Yet Adopted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r>
        <w:rPr>
          <w:rFonts w:ascii="Times New Roman;serif" w:hAnsi="Times New Roman;serif"/>
          <w:b/>
          <w:sz w:val="20"/>
        </w:rPr>
        <w:t>3. Fair Value Measurement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pStyle w:val="TextBody"/>
        <w:spacing w:before="80" w:after="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w:t>
      </w:r>
      <w:r>
        <w:rPr>
          <w:rFonts w:ascii="Times New Roman;serif" w:hAnsi="Times New Roman;serif"/>
          <w:b w:val="false"/>
          <w:sz w:val="20"/>
        </w:rPr>
        <w:t>Quoted prices are available in active markets for identical assets or liabilities as of the measurement date.</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w:t>
      </w:r>
      <w:r>
        <w:rPr>
          <w:rFonts w:ascii="Times New Roman;serif" w:hAnsi="Times New Roman;serif"/>
          <w:b w:val="false"/>
          <w:sz w:val="20"/>
        </w:rPr>
        <w:t>Pricing inputs are other than quoted prices in active market, which are either directly or indirectly observable as of the report date. The nature of these securities includes investments for which quoted prices are available but traded less frequently and investments that are fair valued using other securities, the parameters of which can be directly observed.</w:t>
      </w:r>
    </w:p>
    <w:p>
      <w:pPr>
        <w:pStyle w:val="TextBody"/>
        <w:spacing w:before="80" w:after="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w:t>
      </w:r>
      <w:r>
        <w:rPr>
          <w:rFonts w:ascii="Times New Roman;serif" w:hAnsi="Times New Roman;serif"/>
          <w:b w:val="false"/>
          <w:sz w:val="20"/>
        </w:rPr>
        <w:t>Securities that have little to no pricing observability as of the report date. These securities are measured using management’s best estimate of fair value, where the inputs into the determination of fair value are not observable and require significant management judgment or estimation.</w:t>
      </w:r>
    </w:p>
    <w:p>
      <w:pPr>
        <w:pStyle w:val="TextBody"/>
        <w:spacing w:before="80" w:after="0"/>
        <w:jc w:val="left"/>
        <w:rPr>
          <w:rFonts w:ascii="Times New Roman" w:hAnsi="Times New Roman"/>
          <w:sz w:val="20"/>
        </w:rPr>
      </w:pPr>
      <w:r>
        <w:rPr>
          <w:rFonts w:ascii="Times New Roman;serif" w:hAnsi="Times New Roman;serif"/>
          <w:b w:val="false"/>
          <w:sz w:val="20"/>
        </w:rPr>
        <w:t>Fair value accounting is applied to all financial assets and liabilities that are recognized or disclosed at fair value in our condensed consolidated financial statements on a recurring basis. Our financial instruments, including cash, restricted cash, accounts receivable, accounts payable, borrowings from credit lines and other liabilities and accrued expenses approximate fair value due to their short-term maturities. The balances of our financial assets that were measured at fair value on a recurring basis as of March 31, 2023</w:t>
      </w:r>
      <w:r>
        <w:rPr>
          <w:rFonts w:ascii="Times New Roman" w:hAnsi="Times New Roman"/>
          <w:sz w:val="20"/>
        </w:rPr>
        <w:t xml:space="preserve"> </w:t>
      </w:r>
      <w:r>
        <w:rPr>
          <w:rFonts w:ascii="Times New Roman;serif" w:hAnsi="Times New Roman;serif"/>
          <w:b w:val="false"/>
          <w:sz w:val="20"/>
        </w:rPr>
        <w:t>and December 31, 2022 were not material. The following tables summarize our financial liabilities that were measured at fair value on a recurring basis, and indicate the fair value hierarchy of the valuation inputs utilized to determine such fair value (in thousands):</w:t>
      </w:r>
    </w:p>
    <w:p>
      <w:pPr>
        <w:pStyle w:val="TextBody"/>
        <w:spacing w:before="0" w:after="0"/>
        <w:jc w:val="left"/>
        <w:rPr/>
      </w:pPr>
      <w:r>
        <w:rPr/>
        <w:t> </w:t>
      </w:r>
    </w:p>
    <w:tbl>
      <w:tblPr>
        <w:tblW w:w="7401" w:type="dxa"/>
        <w:jc w:val="left"/>
        <w:tblInd w:w="0" w:type="dxa"/>
        <w:tblCellMar>
          <w:top w:w="28" w:type="dxa"/>
          <w:left w:w="28" w:type="dxa"/>
          <w:bottom w:w="28" w:type="dxa"/>
          <w:right w:w="28" w:type="dxa"/>
        </w:tblCellMar>
      </w:tblPr>
      <w:tblGrid>
        <w:gridCol w:w="3106"/>
        <w:gridCol w:w="146"/>
        <w:gridCol w:w="284"/>
        <w:gridCol w:w="466"/>
        <w:gridCol w:w="146"/>
        <w:gridCol w:w="146"/>
        <w:gridCol w:w="250"/>
        <w:gridCol w:w="500"/>
        <w:gridCol w:w="146"/>
        <w:gridCol w:w="146"/>
        <w:gridCol w:w="284"/>
        <w:gridCol w:w="466"/>
        <w:gridCol w:w="146"/>
        <w:gridCol w:w="146"/>
        <w:gridCol w:w="211"/>
        <w:gridCol w:w="421"/>
        <w:gridCol w:w="391"/>
      </w:tblGrid>
      <w:tr>
        <w:trPr/>
        <w:tc>
          <w:tcPr>
            <w:tcW w:w="3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58"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1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Foreign currency forward contracts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391" w:type="dxa"/>
            <w:tcBorders/>
            <w:shd w:fill="auto" w:val="clear"/>
            <w:vAlign w:val="center"/>
          </w:tcPr>
          <w:p>
            <w:pPr>
              <w:pStyle w:val="TableContents"/>
              <w:spacing w:before="0" w:after="0"/>
              <w:ind w:left="0" w:right="0" w:firstLine="200"/>
              <w:jc w:val="left"/>
              <w:rPr/>
            </w:pPr>
            <w:r>
              <w:rPr/>
              <w:t> </w:t>
            </w:r>
          </w:p>
        </w:tc>
      </w:tr>
      <w:tr>
        <w:trPr/>
        <w:tc>
          <w:tcPr>
            <w:tcW w:w="31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823"/>
        <w:gridCol w:w="146"/>
        <w:gridCol w:w="273"/>
        <w:gridCol w:w="448"/>
        <w:gridCol w:w="146"/>
        <w:gridCol w:w="146"/>
        <w:gridCol w:w="244"/>
        <w:gridCol w:w="488"/>
        <w:gridCol w:w="146"/>
        <w:gridCol w:w="146"/>
        <w:gridCol w:w="244"/>
        <w:gridCol w:w="488"/>
        <w:gridCol w:w="146"/>
        <w:gridCol w:w="146"/>
        <w:gridCol w:w="211"/>
        <w:gridCol w:w="571"/>
        <w:gridCol w:w="393"/>
      </w:tblGrid>
      <w:tr>
        <w:trPr/>
        <w:tc>
          <w:tcPr>
            <w:tcW w:w="58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582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2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2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center"/>
              <w:rPr/>
            </w:pPr>
            <w:r>
              <w:rPr/>
              <w:t> </w:t>
            </w:r>
          </w:p>
        </w:tc>
      </w:tr>
      <w:tr>
        <w:trPr/>
        <w:tc>
          <w:tcPr>
            <w:tcW w:w="582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r>
        <w:trPr/>
        <w:tc>
          <w:tcPr>
            <w:tcW w:w="582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Deferred cash consideration in connection with a business acquisition—SCUF</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393" w:type="dxa"/>
            <w:tcBorders/>
            <w:shd w:fill="auto" w:val="clear"/>
            <w:vAlign w:val="center"/>
          </w:tcPr>
          <w:p>
            <w:pPr>
              <w:pStyle w:val="TableContents"/>
              <w:spacing w:before="0" w:after="0"/>
              <w:ind w:left="0" w:right="0" w:hanging="0"/>
              <w:jc w:val="left"/>
              <w:rPr/>
            </w:pPr>
            <w:r>
              <w:rPr/>
              <w:t> </w:t>
            </w:r>
          </w:p>
        </w:tc>
      </w:tr>
      <w:tr>
        <w:trPr/>
        <w:tc>
          <w:tcPr>
            <w:tcW w:w="582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Foreign currency forward contracts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82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1,438</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jc w:val="left"/>
        <w:rPr>
          <w:rFonts w:ascii="Times New Roman;serif" w:hAnsi="Times New Roman;serif"/>
          <w:b w:val="false"/>
          <w:sz w:val="18"/>
        </w:rPr>
      </w:pPr>
      <w:r>
        <w:rPr>
          <w:rFonts w:ascii="Times New Roman;serif" w:hAnsi="Times New Roman;serif"/>
          <w:b w:val="false"/>
          <w:sz w:val="18"/>
        </w:rPr>
        <w:t>The fair values of the forward contracts were based on similar exchange traded derivatives and the related asset or liability is included within Level 2 of the fair value hierarchy.</w:t>
      </w:r>
    </w:p>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(2)</w:t>
      </w:r>
    </w:p>
    <w:p>
      <w:pPr>
        <w:pStyle w:val="TextBody"/>
        <w:jc w:val="left"/>
        <w:rPr>
          <w:rFonts w:ascii="Times New Roman;serif" w:hAnsi="Times New Roman;serif"/>
          <w:sz w:val="20"/>
        </w:rPr>
      </w:pPr>
      <w:r>
        <w:rPr>
          <w:rFonts w:ascii="Times New Roman;serif" w:hAnsi="Times New Roman;serif"/>
          <w:b w:val="false"/>
          <w:sz w:val="18"/>
        </w:rPr>
        <w:t>In December 2019, one of our subsidiaries entered into an Agreement and Plan of Merger with Scuf Holdings, Inc. and its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$1.0</w:t>
      </w:r>
      <w:r>
        <w:rPr>
          <w:rFonts w:ascii="Times New Roman;serif" w:hAnsi="Times New Roman;serif"/>
          <w:sz w:val="20"/>
        </w:rPr>
        <w:t xml:space="preserve"> </w:t>
      </w:r>
      <w:r>
        <w:rPr>
          <w:rFonts w:ascii="Times New Roman;serif" w:hAnsi="Times New Roman;serif"/>
          <w:b w:val="false"/>
          <w:sz w:val="18"/>
        </w:rPr>
        <w:t>million liability as of December 31, 2022 was finalized in the fourth quarter of 2022, and this amount was paid in the first quarter of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4. Derivative Financial Instruments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pStyle w:val="TextBody"/>
        <w:spacing w:before="120" w:after="0"/>
        <w:jc w:val="left"/>
        <w:rPr>
          <w:rFonts w:ascii="Times New Roman" w:hAnsi="Times New Roman"/>
          <w:sz w:val="20"/>
        </w:rPr>
      </w:pPr>
      <w:r>
        <w:rPr>
          <w:rFonts w:ascii="Times New Roman;serif" w:hAnsi="Times New Roman;serif"/>
          <w:b w:val="false"/>
          <w:sz w:val="20"/>
        </w:rPr>
        <w:t>The foreign currency forward contracts generally mature within two</w:t>
      </w:r>
      <w:r>
        <w:rPr>
          <w:rFonts w:ascii="Times New Roman" w:hAnsi="Times New Roman"/>
          <w:sz w:val="20"/>
        </w:rPr>
        <w:t xml:space="preserve"> </w:t>
      </w:r>
      <w:r>
        <w:rPr>
          <w:rFonts w:ascii="Times New Roman;serif" w:hAnsi="Times New Roman;serif"/>
          <w:b w:val="false"/>
          <w:sz w:val="20"/>
        </w:rPr>
        <w:t>to four months. The notional principal amount of outstanding foreign exchange forward contracts was $25.3</w:t>
      </w:r>
      <w:r>
        <w:rPr>
          <w:rFonts w:ascii="Times New Roman" w:hAnsi="Times New Roman"/>
          <w:sz w:val="20"/>
        </w:rPr>
        <w:t xml:space="preserve"> </w:t>
      </w:r>
      <w:r>
        <w:rPr>
          <w:rFonts w:ascii="Times New Roman;serif" w:hAnsi="Times New Roman;serif"/>
          <w:b w:val="false"/>
          <w:sz w:val="20"/>
        </w:rPr>
        <w:t>million and $23.4</w:t>
      </w:r>
      <w:r>
        <w:rPr>
          <w:rFonts w:ascii="Times New Roman" w:hAnsi="Times New Roman"/>
          <w:sz w:val="20"/>
        </w:rPr>
        <w:t xml:space="preserve"> </w:t>
      </w:r>
      <w:r>
        <w:rPr>
          <w:rFonts w:ascii="Times New Roman;serif" w:hAnsi="Times New Roman;serif"/>
          <w:b w:val="false"/>
          <w:sz w:val="20"/>
        </w:rPr>
        <w:t>million as of March 31, 2023</w:t>
      </w:r>
      <w:r>
        <w:rPr>
          <w:rFonts w:ascii="Times New Roman" w:hAnsi="Times New Roman"/>
          <w:sz w:val="20"/>
        </w:rPr>
        <w:t xml:space="preserve"> </w:t>
      </w:r>
      <w:r>
        <w:rPr>
          <w:rFonts w:ascii="Times New Roman;serif" w:hAnsi="Times New Roman;serif"/>
          <w:b w:val="false"/>
          <w:sz w:val="20"/>
        </w:rPr>
        <w:t>and December 31, 2022, respectively, none of which have been designated as hedging instruments during the periods presented. The net fair value gains (losses) recognized in other (expense) income, net in relation to these derivative instruments was $(0.4) million and $0.5</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240" w:after="0"/>
        <w:jc w:val="left"/>
        <w:rPr>
          <w:rFonts w:ascii="Times New Roman;serif" w:hAnsi="Times New Roman;serif"/>
          <w:b/>
          <w:sz w:val="20"/>
        </w:rPr>
      </w:pPr>
      <w:r>
        <w:rPr>
          <w:rFonts w:ascii="Times New Roman;serif" w:hAnsi="Times New Roman;serif"/>
          <w:b/>
          <w:sz w:val="20"/>
        </w:rPr>
        <w:t>5. Business Combinations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iDisplay Acquisition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1, 2022, we completed the acquisition of a 51% ownership stake in iDisplay (the “iDisplay Acquisition”), a leader in electronic development and design specializing in display technology, headquartered in Taiwan.</w:t>
      </w:r>
    </w:p>
    <w:p>
      <w:pPr>
        <w:pStyle w:val="TextBody"/>
        <w:spacing w:before="120" w:after="0"/>
        <w:jc w:val="left"/>
        <w:rPr>
          <w:rFonts w:ascii="Times New Roman" w:hAnsi="Times New Roman"/>
          <w:sz w:val="20"/>
        </w:rPr>
      </w:pPr>
      <w:r>
        <w:rPr>
          <w:rFonts w:ascii="Times New Roman;serif" w:hAnsi="Times New Roman;serif"/>
          <w:b w:val="false"/>
          <w:sz w:val="20"/>
        </w:rPr>
        <w:t>The fair value consideration for iDisplay was $36.4</w:t>
      </w:r>
      <w:r>
        <w:rPr>
          <w:rFonts w:ascii="Times New Roman" w:hAnsi="Times New Roman"/>
          <w:sz w:val="20"/>
        </w:rPr>
        <w:t xml:space="preserve"> </w:t>
      </w:r>
      <w:r>
        <w:rPr>
          <w:rFonts w:ascii="Times New Roman;serif" w:hAnsi="Times New Roman;serif"/>
          <w:b w:val="false"/>
          <w:sz w:val="20"/>
        </w:rPr>
        <w:t>million, including $21.9</w:t>
      </w:r>
      <w:r>
        <w:rPr>
          <w:rFonts w:ascii="Times New Roman" w:hAnsi="Times New Roman"/>
          <w:sz w:val="20"/>
        </w:rPr>
        <w:t xml:space="preserve"> </w:t>
      </w:r>
      <w:r>
        <w:rPr>
          <w:rFonts w:ascii="Times New Roman;serif" w:hAnsi="Times New Roman;serif"/>
          <w:b w:val="false"/>
          <w:sz w:val="20"/>
        </w:rPr>
        <w:t>million in cash and the issuance of 690,333</w:t>
      </w:r>
      <w:r>
        <w:rPr>
          <w:rFonts w:ascii="Times New Roman" w:hAnsi="Times New Roman"/>
          <w:sz w:val="20"/>
        </w:rPr>
        <w:t xml:space="preserve"> </w:t>
      </w:r>
      <w:r>
        <w:rPr>
          <w:rFonts w:ascii="Times New Roman;serif" w:hAnsi="Times New Roman;serif"/>
          <w:b w:val="false"/>
          <w:sz w:val="20"/>
        </w:rPr>
        <w:t>shares of our common stock with a fair value of $14.5</w:t>
      </w:r>
      <w:r>
        <w:rPr>
          <w:rFonts w:ascii="Times New Roman" w:hAnsi="Times New Roman"/>
          <w:sz w:val="20"/>
        </w:rPr>
        <w:t xml:space="preserve"> </w:t>
      </w:r>
      <w:r>
        <w:rPr>
          <w:rFonts w:ascii="Times New Roman;serif" w:hAnsi="Times New Roman;serif"/>
          <w:b w:val="false"/>
          <w:sz w:val="20"/>
        </w:rPr>
        <w:t>million at Closing Date. The consideration was reduced for the effective 51% settlement of a pre-existing contractual accounts payable balance owed to iDisplay of $3.5</w:t>
      </w:r>
      <w:r>
        <w:rPr>
          <w:rFonts w:ascii="Times New Roman" w:hAnsi="Times New Roman"/>
          <w:sz w:val="20"/>
        </w:rPr>
        <w:t xml:space="preserve"> </w:t>
      </w:r>
      <w:r>
        <w:rPr>
          <w:rFonts w:ascii="Times New Roman;serif" w:hAnsi="Times New Roman;serif"/>
          <w:b w:val="false"/>
          <w:sz w:val="20"/>
        </w:rPr>
        <w:t>million. The iDisplay Acquisition has allowed us to direct the development and integration of iDisplay’s display-based touch-screen technologies into our products for creators, gamers and streamers. iDisplay’s results of operations are fully consolidated with Corsair with effect from January 1,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seller of iDisplay (the “iDisplay Seller”) has retained a 49% noncontrolling interest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 subject to the put option is considered a redeemable noncontrolling interest ("RNCI"). See Note 15, “Redeemable Noncontrolling Interest” for more information regarding such RNCI.</w:t>
      </w:r>
    </w:p>
    <w:p>
      <w:pPr>
        <w:pStyle w:val="TextBody"/>
        <w:spacing w:before="120" w:after="120"/>
        <w:jc w:val="left"/>
        <w:rPr>
          <w:rFonts w:ascii="Times New Roman" w:hAnsi="Times New Roman"/>
          <w:sz w:val="20"/>
        </w:rPr>
      </w:pPr>
      <w:r>
        <w:rPr>
          <w:rFonts w:ascii="Times New Roman;serif" w:hAnsi="Times New Roman;serif"/>
          <w:b w:val="false"/>
          <w:sz w:val="20"/>
        </w:rPr>
        <w:t>The fair value of the 49% noncontrolling interest was estimated to be $29.6</w:t>
      </w:r>
      <w:r>
        <w:rPr>
          <w:rFonts w:ascii="Times New Roman" w:hAnsi="Times New Roman"/>
          <w:sz w:val="20"/>
        </w:rPr>
        <w:t xml:space="preserve"> </w:t>
      </w:r>
      <w:r>
        <w:rPr>
          <w:rFonts w:ascii="Times New Roman;serif" w:hAnsi="Times New Roman;serif"/>
          <w:b w:val="false"/>
          <w:sz w:val="20"/>
        </w:rPr>
        <w:t>million. The control premium was based on an analysis considering similar market transactions involving control premiums, as well as factors specific to iDisplay, including its significant customer concentration.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Subsequent to the iDisplay Acquisition Closing Date, we recorded measurement period adjustments which increased goodwill by $1.0</w:t>
      </w:r>
      <w:r>
        <w:rPr>
          <w:rFonts w:ascii="Times New Roman" w:hAnsi="Times New Roman"/>
          <w:sz w:val="20"/>
        </w:rPr>
        <w:t xml:space="preserve"> </w:t>
      </w:r>
      <w:r>
        <w:rPr>
          <w:rFonts w:ascii="Times New Roman;serif" w:hAnsi="Times New Roman;serif"/>
          <w:b w:val="false"/>
          <w:sz w:val="20"/>
        </w:rPr>
        <w:t>million and decreased identifiable intangible assets and deferred liabilities by $1.1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 xml:space="preserve">million, respectively. The final allocation of the iDisplay Acquisition purchase consideration to the estimated fair value of the assets acquired and liabilities assumed at the acquisition date is as follows (in thousands): </w:t>
      </w:r>
    </w:p>
    <w:tbl>
      <w:tblPr>
        <w:tblW w:w="4680" w:type="dxa"/>
        <w:jc w:val="left"/>
        <w:tblInd w:w="0" w:type="dxa"/>
        <w:tblCellMar>
          <w:top w:w="28" w:type="dxa"/>
          <w:left w:w="28" w:type="dxa"/>
          <w:bottom w:w="28" w:type="dxa"/>
          <w:right w:w="28" w:type="dxa"/>
        </w:tblCellMar>
      </w:tblPr>
      <w:tblGrid>
        <w:gridCol w:w="3196"/>
        <w:gridCol w:w="146"/>
        <w:gridCol w:w="211"/>
        <w:gridCol w:w="736"/>
        <w:gridCol w:w="391"/>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2,330</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3,382</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2,772</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and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Identifiable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34,200</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32,987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76,732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(4,561</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liabilities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(10,758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65,974</w:t>
            </w:r>
          </w:p>
        </w:tc>
        <w:tc>
          <w:tcPr>
            <w:tcW w:w="3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(29,606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Fair value of consideration transferred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36,368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consideration:</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21,864</w:t>
            </w:r>
          </w:p>
        </w:tc>
        <w:tc>
          <w:tcPr>
            <w:tcW w:w="391" w:type="dxa"/>
            <w:tcBorders/>
            <w:shd w:fill="auto" w:val="clear"/>
            <w:vAlign w:val="center"/>
          </w:tcPr>
          <w:p>
            <w:pPr>
              <w:pStyle w:val="TableContents"/>
              <w:spacing w:before="0" w:after="0"/>
              <w:ind w:left="0" w:right="0" w:firstLine="100"/>
              <w:jc w:val="lef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Corsair 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14,504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consideration transferred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36,368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$0.3</w:t>
      </w:r>
      <w:r>
        <w:rPr>
          <w:rFonts w:ascii="Times New Roman" w:hAnsi="Times New Roman"/>
          <w:sz w:val="20"/>
        </w:rPr>
        <w:t xml:space="preserve"> </w:t>
      </w:r>
      <w:r>
        <w:rPr>
          <w:rFonts w:ascii="Times New Roman;serif" w:hAnsi="Times New Roman;serif"/>
          <w:b w:val="false"/>
          <w:sz w:val="20"/>
        </w:rPr>
        <w:t>million, which was recognized in cost of revenue in the consolidated statements of operations upon the sale of the acquired inventory.</w:t>
      </w:r>
    </w:p>
    <w:p>
      <w:pPr>
        <w:pStyle w:val="TextBody"/>
        <w:spacing w:before="120" w:after="0"/>
        <w:jc w:val="left"/>
        <w:rPr>
          <w:rFonts w:ascii="Times New Roman" w:hAnsi="Times New Roman"/>
          <w:sz w:val="20"/>
        </w:rPr>
      </w:pPr>
      <w:r>
        <w:rPr>
          <w:rFonts w:ascii="Times New Roman;serif" w:hAnsi="Times New Roman;serif"/>
          <w:b w:val="false"/>
          <w:sz w:val="20"/>
        </w:rPr>
        <w:t>The goodwill recognized for the iDisplay Acquisition, which is the excess of the purchase consideration over the fair value of the identifiable intangible assets and the net tangible assets and liabilities acquired, has been estimated to be $33.0</w:t>
      </w:r>
      <w:r>
        <w:rPr>
          <w:rFonts w:ascii="Times New Roman" w:hAnsi="Times New Roman"/>
          <w:sz w:val="20"/>
        </w:rPr>
        <w:t xml:space="preserve"> </w:t>
      </w:r>
      <w:r>
        <w:rPr>
          <w:rFonts w:ascii="Times New Roman;serif" w:hAnsi="Times New Roman;serif"/>
          <w:b w:val="false"/>
          <w:sz w:val="20"/>
        </w:rPr>
        <w:t>million, of which $29.3</w:t>
      </w:r>
      <w:r>
        <w:rPr>
          <w:rFonts w:ascii="Times New Roman" w:hAnsi="Times New Roman"/>
          <w:sz w:val="20"/>
        </w:rPr>
        <w:t xml:space="preserve"> </w:t>
      </w:r>
      <w:r>
        <w:rPr>
          <w:rFonts w:ascii="Times New Roman;serif" w:hAnsi="Times New Roman;serif"/>
          <w:b w:val="false"/>
          <w:sz w:val="20"/>
        </w:rPr>
        <w:t>million and $3.7</w:t>
      </w:r>
      <w:r>
        <w:rPr>
          <w:rFonts w:ascii="Times New Roman" w:hAnsi="Times New Roman"/>
          <w:sz w:val="20"/>
        </w:rPr>
        <w:t xml:space="preserve"> </w:t>
      </w:r>
      <w:r>
        <w:rPr>
          <w:rFonts w:ascii="Times New Roman;serif" w:hAnsi="Times New Roman;serif"/>
          <w:b w:val="false"/>
          <w:sz w:val="20"/>
        </w:rPr>
        <w:t>million are assigned to our gamer and creator peripherals reporting unit and gaming component and systems reporting unit, respectively. We believe goodwill represents the strengthening of our supply chain with display-based touch-screen technologies into our products for creators, gamers and streamers, and the ability to design and generate new technologies to enhance the features of our products.</w:t>
      </w:r>
    </w:p>
    <w:p>
      <w:pPr>
        <w:pStyle w:val="TextBody"/>
        <w:spacing w:before="120" w:after="0"/>
        <w:jc w:val="left"/>
        <w:rPr>
          <w:rFonts w:ascii="Times New Roman" w:hAnsi="Times New Roman"/>
          <w:sz w:val="20"/>
        </w:rPr>
      </w:pPr>
      <w:r>
        <w:rPr>
          <w:rFonts w:ascii="Times New Roman;serif" w:hAnsi="Times New Roman;serif"/>
          <w:b w:val="false"/>
          <w:sz w:val="20"/>
        </w:rPr>
        <w:t>A portion of the identifiable intangible assets are not deductible for tax purposes for which a $4.6</w:t>
      </w:r>
      <w:r>
        <w:rPr>
          <w:rFonts w:ascii="Times New Roman" w:hAnsi="Times New Roman"/>
          <w:sz w:val="20"/>
        </w:rPr>
        <w:t xml:space="preserve"> </w:t>
      </w:r>
      <w:r>
        <w:rPr>
          <w:rFonts w:ascii="Times New Roman;serif" w:hAnsi="Times New Roman;serif"/>
          <w:b w:val="false"/>
          <w:sz w:val="20"/>
        </w:rPr>
        <w:t>million deferred tax liability has been estimated at the date of acquisition for the difference between the book and tax bases of these assets. The goodwill is not deductible for tax purposes.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Valuation of identified intangible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valuation of the identifiable intangible assets acquired in the iDisplay Acquisition and the estimate of their respective useful lives as of the Closing Date, including subsequent measurement period adjustments:</w:t>
      </w:r>
    </w:p>
    <w:tbl>
      <w:tblPr>
        <w:tblW w:w="5620" w:type="dxa"/>
        <w:jc w:val="left"/>
        <w:tblInd w:w="0" w:type="dxa"/>
        <w:tblCellMar>
          <w:top w:w="28" w:type="dxa"/>
          <w:left w:w="28" w:type="dxa"/>
          <w:bottom w:w="28" w:type="dxa"/>
          <w:right w:w="28" w:type="dxa"/>
        </w:tblCellMar>
      </w:tblPr>
      <w:tblGrid>
        <w:gridCol w:w="2941"/>
        <w:gridCol w:w="146"/>
        <w:gridCol w:w="271"/>
        <w:gridCol w:w="869"/>
        <w:gridCol w:w="146"/>
        <w:gridCol w:w="146"/>
        <w:gridCol w:w="331"/>
        <w:gridCol w:w="479"/>
        <w:gridCol w:w="2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Useful</w:t>
              <w:br/>
              <w:t>Life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291" w:type="dxa"/>
            <w:tcBorders/>
            <w:shd w:fill="auto" w:val="cle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0"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Patent portfolio</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Supplier relationships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1" w:type="dxa"/>
            <w:tcBorders/>
            <w:shd w:fill="auto" w:val="clear"/>
            <w:vAlign w:val="center"/>
          </w:tcPr>
          <w:p>
            <w:pPr>
              <w:pStyle w:val="TableContents"/>
              <w:spacing w:before="0" w:after="0"/>
              <w:ind w:left="0" w:right="0" w:firstLine="100"/>
              <w:jc w:val="left"/>
              <w:rPr/>
            </w:pPr>
            <w:r>
              <w:rPr/>
              <w:t> </w:t>
            </w:r>
          </w:p>
        </w:tc>
      </w:tr>
      <w:tr>
        <w:trPr/>
        <w:tc>
          <w:tcPr>
            <w:tcW w:w="29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identifiable intangible assets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0"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 fair value of patent portfolio was estimated using the relief from royalty approach and the economic useful life was determined based on the average product life cycle of the products manufactured by iDisplay. The supplier relationships intangible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asset represents the value assigned to the relationship iDisplay had established over the years with a broad network of suppliers and 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intangibles are being amortized over their estimated useful lives using the straight-line method of amortization, which reflects the pattern in which the economic benefits of the intangible asset are consumed. Amortization of patent portfolio and supplier relationships is included in cost of revenue and amortization of developed technology is included in product development expense in our condensed consolidated statements of operations.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Acquisition-related costs</w:t>
      </w:r>
    </w:p>
    <w:p>
      <w:pPr>
        <w:pStyle w:val="TextBody"/>
        <w:spacing w:before="120" w:after="0"/>
        <w:jc w:val="left"/>
        <w:rPr>
          <w:rFonts w:ascii="Times New Roman" w:hAnsi="Times New Roman"/>
          <w:sz w:val="20"/>
        </w:rPr>
      </w:pP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acquisition-related costs incurred in the three months ended March 31, 2023. We incurred acquisition-related costs of approximately $0.5</w:t>
      </w:r>
      <w:r>
        <w:rPr>
          <w:rFonts w:ascii="Times New Roman" w:hAnsi="Times New Roman"/>
          <w:sz w:val="20"/>
        </w:rPr>
        <w:t xml:space="preserve"> </w:t>
      </w:r>
      <w:r>
        <w:rPr>
          <w:rFonts w:ascii="Times New Roman;serif" w:hAnsi="Times New Roman;serif"/>
          <w:b w:val="false"/>
          <w:sz w:val="20"/>
        </w:rPr>
        <w:t>million for the three months ended March 31, 2022. These costs are recorded in sales, general and administrative expenses in the condensed consolidated statement of operations.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6. Goodwill and Intangible Assets</w:t>
      </w:r>
    </w:p>
    <w:p>
      <w:pPr>
        <w:pStyle w:val="TextBody"/>
        <w:spacing w:before="120" w:after="0"/>
        <w:jc w:val="left"/>
        <w:rPr>
          <w:rFonts w:ascii="Times New Roman;serif" w:hAnsi="Times New Roman;serif"/>
          <w:b/>
          <w:i/>
          <w:sz w:val="20"/>
        </w:rPr>
      </w:pPr>
      <w:r>
        <w:rPr>
          <w:rFonts w:ascii="Times New Roman;serif" w:hAnsi="Times New Roman;serif"/>
          <w:b/>
          <w:i/>
          <w:sz w:val="20"/>
        </w:rPr>
        <w:t>Goodwill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changes in the carrying amount of goodwill by reportable segment (in thousands):</w:t>
      </w:r>
    </w:p>
    <w:tbl>
      <w:tblPr>
        <w:tblW w:w="7647" w:type="dxa"/>
        <w:jc w:val="left"/>
        <w:tblInd w:w="0" w:type="dxa"/>
        <w:tblCellMar>
          <w:top w:w="28" w:type="dxa"/>
          <w:left w:w="28" w:type="dxa"/>
          <w:bottom w:w="28" w:type="dxa"/>
          <w:right w:w="28" w:type="dxa"/>
        </w:tblCellMar>
      </w:tblPr>
      <w:tblGrid>
        <w:gridCol w:w="3436"/>
        <w:gridCol w:w="146"/>
        <w:gridCol w:w="213"/>
        <w:gridCol w:w="793"/>
        <w:gridCol w:w="246"/>
        <w:gridCol w:w="146"/>
        <w:gridCol w:w="211"/>
        <w:gridCol w:w="781"/>
        <w:gridCol w:w="246"/>
        <w:gridCol w:w="146"/>
        <w:gridCol w:w="211"/>
        <w:gridCol w:w="781"/>
        <w:gridCol w:w="29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Gaming</w:t>
              <w:br/>
              <w:t>Components</w:t>
              <w:br/>
              <w:t>and</w:t>
              <w:br/>
              <w:t>Systems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Gamer and</w:t>
              <w:br/>
              <w:t>Creator</w:t>
              <w:br/>
              <w:t>Peripherals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148,931</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198,816</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347,747</w:t>
            </w:r>
          </w:p>
        </w:tc>
        <w:tc>
          <w:tcPr>
            <w:tcW w:w="291" w:type="dxa"/>
            <w:tcBorders/>
            <w:shd w:fill="auto" w:val="clear"/>
            <w:vAlign w:val="center"/>
          </w:tcPr>
          <w:p>
            <w:pPr>
              <w:pStyle w:val="TableContents"/>
              <w:spacing w:before="0" w:after="0"/>
              <w:ind w:left="0" w:right="0" w:firstLine="100"/>
              <w:jc w:val="left"/>
              <w:rPr/>
            </w:pPr>
            <w:r>
              <w:rPr/>
              <w:t> </w:t>
            </w:r>
          </w:p>
        </w:tc>
      </w:tr>
      <w:tr>
        <w:trPr/>
        <w:tc>
          <w:tcPr>
            <w:tcW w:w="34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Effect of foreign currency exchange rates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148,941</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199,269</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348,210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Intangible assets,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is a summary of intangible assets, net (in thousands):</w:t>
      </w:r>
    </w:p>
    <w:tbl>
      <w:tblPr>
        <w:tblW w:w="10205" w:type="dxa"/>
        <w:jc w:val="left"/>
        <w:tblInd w:w="0" w:type="dxa"/>
        <w:tblCellMar>
          <w:top w:w="28" w:type="dxa"/>
          <w:left w:w="28" w:type="dxa"/>
          <w:bottom w:w="28" w:type="dxa"/>
          <w:right w:w="28" w:type="dxa"/>
        </w:tblCellMar>
      </w:tblPr>
      <w:tblGrid>
        <w:gridCol w:w="2078"/>
        <w:gridCol w:w="146"/>
        <w:gridCol w:w="211"/>
        <w:gridCol w:w="781"/>
        <w:gridCol w:w="146"/>
        <w:gridCol w:w="146"/>
        <w:gridCol w:w="229"/>
        <w:gridCol w:w="852"/>
        <w:gridCol w:w="146"/>
        <w:gridCol w:w="146"/>
        <w:gridCol w:w="211"/>
        <w:gridCol w:w="781"/>
        <w:gridCol w:w="146"/>
        <w:gridCol w:w="146"/>
        <w:gridCol w:w="211"/>
        <w:gridCol w:w="781"/>
        <w:gridCol w:w="146"/>
        <w:gridCol w:w="146"/>
        <w:gridCol w:w="229"/>
        <w:gridCol w:w="852"/>
        <w:gridCol w:w="146"/>
        <w:gridCol w:w="146"/>
        <w:gridCol w:w="211"/>
        <w:gridCol w:w="781"/>
        <w:gridCol w:w="391"/>
      </w:tblGrid>
      <w:tr>
        <w:trPr/>
        <w:tc>
          <w:tcPr>
            <w:tcW w:w="20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0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9" w:type="dxa"/>
            <w:gridSpan w:val="10"/>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0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29,638</w:t>
            </w:r>
          </w:p>
        </w:tc>
        <w:tc>
          <w:tcPr>
            <w:tcW w:w="391" w:type="dxa"/>
            <w:tcBorders/>
            <w:shd w:fill="auto" w:val="clear"/>
            <w:vAlign w:val="center"/>
          </w:tcPr>
          <w:p>
            <w:pPr>
              <w:pStyle w:val="TableContents"/>
              <w:spacing w:before="0" w:after="0"/>
              <w:ind w:left="0" w:right="0" w:hanging="0"/>
              <w:jc w:val="left"/>
              <w:rPr/>
            </w:pPr>
            <w:r>
              <w:rPr/>
              <w:t> </w:t>
            </w:r>
          </w:p>
        </w:tc>
      </w:tr>
      <w:tr>
        <w:trPr/>
        <w:tc>
          <w:tcPr>
            <w:tcW w:w="20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22,933</w:t>
            </w:r>
          </w:p>
        </w:tc>
        <w:tc>
          <w:tcPr>
            <w:tcW w:w="391" w:type="dxa"/>
            <w:tcBorders/>
            <w:shd w:fill="auto" w:val="clear"/>
            <w:vAlign w:val="center"/>
          </w:tcPr>
          <w:p>
            <w:pPr>
              <w:pStyle w:val="TableContents"/>
              <w:spacing w:before="0" w:after="0"/>
              <w:ind w:left="0" w:right="0" w:hanging="0"/>
              <w:jc w:val="left"/>
              <w:rPr/>
            </w:pPr>
            <w:r>
              <w:rPr/>
              <w:t> </w:t>
            </w:r>
          </w:p>
        </w:tc>
      </w:tr>
      <w:tr>
        <w:trPr/>
        <w:tc>
          <w:tcPr>
            <w:tcW w:w="20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218,447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122,318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101,623</w:t>
            </w:r>
          </w:p>
        </w:tc>
        <w:tc>
          <w:tcPr>
            <w:tcW w:w="391" w:type="dxa"/>
            <w:tcBorders/>
            <w:shd w:fill="auto" w:val="clear"/>
            <w:vAlign w:val="center"/>
          </w:tcPr>
          <w:p>
            <w:pPr>
              <w:pStyle w:val="TableContents"/>
              <w:spacing w:before="0" w:after="0"/>
              <w:ind w:left="0" w:right="0" w:hanging="0"/>
              <w:jc w:val="left"/>
              <w:rPr/>
            </w:pPr>
            <w:r>
              <w:rPr/>
              <w:t> </w:t>
            </w:r>
          </w:p>
        </w:tc>
      </w:tr>
      <w:tr>
        <w:trPr/>
        <w:tc>
          <w:tcPr>
            <w:tcW w:w="20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Patent portfolio</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21,434</w:t>
            </w:r>
          </w:p>
        </w:tc>
        <w:tc>
          <w:tcPr>
            <w:tcW w:w="391" w:type="dxa"/>
            <w:tcBorders/>
            <w:shd w:fill="auto" w:val="clear"/>
            <w:vAlign w:val="center"/>
          </w:tcPr>
          <w:p>
            <w:pPr>
              <w:pStyle w:val="TableContents"/>
              <w:spacing w:before="0" w:after="0"/>
              <w:ind w:left="0" w:right="0" w:hanging="0"/>
              <w:jc w:val="left"/>
              <w:rPr/>
            </w:pPr>
            <w:r>
              <w:rPr/>
              <w:t> </w:t>
            </w:r>
          </w:p>
        </w:tc>
      </w:tr>
      <w:tr>
        <w:trPr/>
        <w:tc>
          <w:tcPr>
            <w:tcW w:w="20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Supplier relationships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0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finite-life intangibles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342,168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180,736</w:t>
            </w:r>
          </w:p>
        </w:tc>
        <w:tc>
          <w:tcPr>
            <w:tcW w:w="391" w:type="dxa"/>
            <w:tcBorders/>
            <w:shd w:fill="auto" w:val="clear"/>
            <w:vAlign w:val="center"/>
          </w:tcPr>
          <w:p>
            <w:pPr>
              <w:pStyle w:val="TableContents"/>
              <w:spacing w:before="0" w:after="0"/>
              <w:ind w:left="0" w:right="0" w:hanging="0"/>
              <w:jc w:val="left"/>
              <w:rPr/>
            </w:pPr>
            <w:r>
              <w:rPr/>
              <w:t> </w:t>
            </w:r>
          </w:p>
        </w:tc>
      </w:tr>
      <w:tr>
        <w:trPr/>
        <w:tc>
          <w:tcPr>
            <w:tcW w:w="20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Indefinite life trade name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35,430</w:t>
            </w:r>
          </w:p>
        </w:tc>
        <w:tc>
          <w:tcPr>
            <w:tcW w:w="391" w:type="dxa"/>
            <w:tcBorders/>
            <w:shd w:fill="auto" w:val="clear"/>
            <w:vAlign w:val="center"/>
          </w:tcPr>
          <w:p>
            <w:pPr>
              <w:pStyle w:val="TableContents"/>
              <w:spacing w:before="0" w:after="0"/>
              <w:ind w:left="0" w:right="0" w:hanging="0"/>
              <w:jc w:val="left"/>
              <w:rPr/>
            </w:pPr>
            <w:r>
              <w:rPr/>
              <w:t> </w:t>
            </w:r>
          </w:p>
        </w:tc>
      </w:tr>
      <w:tr>
        <w:trPr/>
        <w:tc>
          <w:tcPr>
            <w:tcW w:w="20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0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377,658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207,082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376,849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216,255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year after an identified intangible asset becomes fully amortized, we remove the fully amortized balances from the gross asset and accumulated amortization amounts from the table above.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estimated future amortization expense of intangible assets as of March 31, 2023 is as follows (in thousands):</w:t>
      </w:r>
    </w:p>
    <w:tbl>
      <w:tblPr>
        <w:tblW w:w="3210" w:type="dxa"/>
        <w:jc w:val="left"/>
        <w:tblInd w:w="0" w:type="dxa"/>
        <w:tblCellMar>
          <w:top w:w="28" w:type="dxa"/>
          <w:left w:w="28" w:type="dxa"/>
          <w:bottom w:w="28" w:type="dxa"/>
          <w:right w:w="28" w:type="dxa"/>
        </w:tblCellMar>
      </w:tblPr>
      <w:tblGrid>
        <w:gridCol w:w="1681"/>
        <w:gridCol w:w="146"/>
        <w:gridCol w:w="211"/>
        <w:gridCol w:w="781"/>
        <w:gridCol w:w="3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28,186</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36,494</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36,206</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32,902</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23,293</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14,511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171,592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7. Balance Sheet Components</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The following tables present the components of certain balance sheet amounts (in thousands):</w:t>
      </w:r>
    </w:p>
    <w:p>
      <w:pPr>
        <w:pStyle w:val="TextBody"/>
        <w:spacing w:before="240" w:after="0"/>
        <w:jc w:val="left"/>
        <w:rPr>
          <w:rFonts w:ascii="Times New Roman;serif" w:hAnsi="Times New Roman;serif"/>
          <w:b/>
          <w:i/>
          <w:sz w:val="20"/>
        </w:rPr>
      </w:pPr>
      <w:r>
        <w:rPr>
          <w:rFonts w:ascii="Times New Roman;serif" w:hAnsi="Times New Roman;serif"/>
          <w:b/>
          <w:i/>
          <w:sz w:val="20"/>
        </w:rPr>
        <w:t>Cash and Restricted Cash</w:t>
      </w:r>
    </w:p>
    <w:tbl>
      <w:tblPr>
        <w:tblW w:w="5487" w:type="dxa"/>
        <w:jc w:val="left"/>
        <w:tblInd w:w="0" w:type="dxa"/>
        <w:tblCellMar>
          <w:top w:w="28" w:type="dxa"/>
          <w:left w:w="28" w:type="dxa"/>
          <w:bottom w:w="28" w:type="dxa"/>
          <w:right w:w="28" w:type="dxa"/>
        </w:tblCellMar>
      </w:tblPr>
      <w:tblGrid>
        <w:gridCol w:w="2506"/>
        <w:gridCol w:w="146"/>
        <w:gridCol w:w="211"/>
        <w:gridCol w:w="781"/>
        <w:gridCol w:w="146"/>
        <w:gridCol w:w="146"/>
        <w:gridCol w:w="268"/>
        <w:gridCol w:w="992"/>
        <w:gridCol w:w="291"/>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5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179,147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151,180</w:t>
            </w:r>
          </w:p>
        </w:tc>
        <w:tc>
          <w:tcPr>
            <w:tcW w:w="291" w:type="dxa"/>
            <w:tcBorders/>
            <w:shd w:fill="auto" w:val="clear"/>
            <w:vAlign w:val="center"/>
          </w:tcPr>
          <w:p>
            <w:pPr>
              <w:pStyle w:val="TableContents"/>
              <w:spacing w:before="0" w:after="0"/>
              <w:ind w:left="0" w:right="0" w:hanging="0"/>
              <w:jc w:val="left"/>
              <w:rPr/>
            </w:pPr>
            <w:r>
              <w:rPr/>
              <w:t> </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cash—short term</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2,647</w:t>
            </w:r>
          </w:p>
        </w:tc>
        <w:tc>
          <w:tcPr>
            <w:tcW w:w="291" w:type="dxa"/>
            <w:tcBorders/>
            <w:shd w:fill="auto" w:val="clear"/>
            <w:vAlign w:val="center"/>
          </w:tcPr>
          <w:p>
            <w:pPr>
              <w:pStyle w:val="TableContents"/>
              <w:spacing w:before="0" w:after="0"/>
              <w:ind w:left="0" w:right="0" w:hanging="0"/>
              <w:jc w:val="left"/>
              <w:rPr/>
            </w:pPr>
            <w:r>
              <w:rPr/>
              <w:t> </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5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182,053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154,060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Accounts Receivable, Net</w:t>
      </w:r>
    </w:p>
    <w:tbl>
      <w:tblPr>
        <w:tblW w:w="5897" w:type="dxa"/>
        <w:jc w:val="left"/>
        <w:tblInd w:w="0" w:type="dxa"/>
        <w:tblCellMar>
          <w:top w:w="28" w:type="dxa"/>
          <w:left w:w="28" w:type="dxa"/>
          <w:bottom w:w="28" w:type="dxa"/>
          <w:right w:w="28" w:type="dxa"/>
        </w:tblCellMar>
      </w:tblPr>
      <w:tblGrid>
        <w:gridCol w:w="2776"/>
        <w:gridCol w:w="146"/>
        <w:gridCol w:w="211"/>
        <w:gridCol w:w="781"/>
        <w:gridCol w:w="166"/>
        <w:gridCol w:w="146"/>
        <w:gridCol w:w="268"/>
        <w:gridCol w:w="992"/>
        <w:gridCol w:w="411"/>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146,411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145,380</w:t>
            </w:r>
          </w:p>
        </w:tc>
        <w:tc>
          <w:tcPr>
            <w:tcW w:w="4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from Factor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91,061</w:t>
            </w:r>
          </w:p>
        </w:tc>
        <w:tc>
          <w:tcPr>
            <w:tcW w:w="4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doubtful accounts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220,992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235,656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On September 29, 2022, one of our fully consolidated subsidiaries entered into an accounts receivable factoring agreement (“Factoring Agreement”) with a third-party financial institution (“Factor”). Pursuant to the terms of the arrangement, we sell certain of our customer receivables on a non-recourse basis to the Factor. Proceeds from factoring the accounts receivable are due upon collection of payments from the customers, but upon our request, the Factor may, at their sole discretion, remit a portion of the</w:t>
      </w:r>
      <w:r>
        <w:rPr>
          <w:rFonts w:ascii="Times New Roman" w:hAnsi="Times New Roman"/>
          <w:sz w:val="20"/>
        </w:rPr>
        <w:t xml:space="preserve"> </w:t>
      </w:r>
      <w:r>
        <w:rPr>
          <w:rFonts w:ascii="Times New Roman;serif" w:hAnsi="Times New Roman;serif"/>
          <w:b w:val="false"/>
          <w:sz w:val="20"/>
        </w:rPr>
        <w:t>proceeds to us prior to their collection of payments from the customers. Our obligations to the Factor arising from the Factoring Agreement are secured by certain assets of our subsidiary. In the three months ended March 31, 2023, we sold receivables and received cash proceeds of $82.9</w:t>
      </w:r>
      <w:r>
        <w:rPr>
          <w:rFonts w:ascii="Times New Roman" w:hAnsi="Times New Roman"/>
          <w:sz w:val="20"/>
        </w:rPr>
        <w:t xml:space="preserve"> </w:t>
      </w:r>
      <w:r>
        <w:rPr>
          <w:rFonts w:ascii="Times New Roman;serif" w:hAnsi="Times New Roman;serif"/>
          <w:b w:val="false"/>
          <w:sz w:val="20"/>
        </w:rPr>
        <w:t>million and $98.6</w:t>
      </w:r>
      <w:r>
        <w:rPr>
          <w:rFonts w:ascii="Times New Roman" w:hAnsi="Times New Roman"/>
          <w:sz w:val="20"/>
        </w:rPr>
        <w:t xml:space="preserve"> </w:t>
      </w:r>
      <w:r>
        <w:rPr>
          <w:rFonts w:ascii="Times New Roman;serif" w:hAnsi="Times New Roman;serif"/>
          <w:b w:val="false"/>
          <w:sz w:val="20"/>
        </w:rPr>
        <w:t>million, respectively. The cost of factoring is included in selling, general and administrative expenses in our condensed consolidated statements of operations and the amount incurred in the three months ended March 31, 2023, was immaterial.</w:t>
      </w:r>
    </w:p>
    <w:p>
      <w:pPr>
        <w:pStyle w:val="TextBody"/>
        <w:spacing w:before="120" w:after="0"/>
        <w:jc w:val="left"/>
        <w:rPr>
          <w:rFonts w:ascii="Times New Roman" w:hAnsi="Times New Roman"/>
          <w:sz w:val="20"/>
        </w:rPr>
      </w:pPr>
      <w:r>
        <w:rPr>
          <w:rFonts w:ascii="Times New Roman;serif" w:hAnsi="Times New Roman;serif"/>
          <w:b w:val="false"/>
          <w:sz w:val="20"/>
        </w:rPr>
        <w:t>The Factor and one</w:t>
      </w:r>
      <w:r>
        <w:rPr>
          <w:rFonts w:ascii="Times New Roman" w:hAnsi="Times New Roman"/>
          <w:sz w:val="20"/>
        </w:rPr>
        <w:t xml:space="preserve"> </w:t>
      </w:r>
      <w:r>
        <w:rPr>
          <w:rFonts w:ascii="Times New Roman;serif" w:hAnsi="Times New Roman;serif"/>
          <w:b w:val="false"/>
          <w:sz w:val="20"/>
        </w:rPr>
        <w:t>other customer, each represented 10% or more of our accounts receivable, net balance as of March 31, 2023 and December 31, 2022.</w:t>
      </w:r>
    </w:p>
    <w:p>
      <w:pPr>
        <w:pStyle w:val="TextBody"/>
        <w:spacing w:before="240" w:after="0"/>
        <w:jc w:val="left"/>
        <w:rPr>
          <w:rFonts w:ascii="Times New Roman;serif" w:hAnsi="Times New Roman;serif"/>
          <w:b/>
          <w:i/>
          <w:sz w:val="20"/>
        </w:rPr>
      </w:pPr>
      <w:r>
        <w:rPr>
          <w:rFonts w:ascii="Times New Roman;serif" w:hAnsi="Times New Roman;serif"/>
          <w:b/>
          <w:i/>
          <w:sz w:val="20"/>
        </w:rPr>
        <w:t>Inventories</w:t>
      </w:r>
    </w:p>
    <w:tbl>
      <w:tblPr>
        <w:tblW w:w="4582" w:type="dxa"/>
        <w:jc w:val="left"/>
        <w:tblInd w:w="0" w:type="dxa"/>
        <w:tblCellMar>
          <w:top w:w="28" w:type="dxa"/>
          <w:left w:w="28" w:type="dxa"/>
          <w:bottom w:w="28" w:type="dxa"/>
          <w:right w:w="28" w:type="dxa"/>
        </w:tblCellMar>
      </w:tblPr>
      <w:tblGrid>
        <w:gridCol w:w="1501"/>
        <w:gridCol w:w="146"/>
        <w:gridCol w:w="211"/>
        <w:gridCol w:w="781"/>
        <w:gridCol w:w="146"/>
        <w:gridCol w:w="146"/>
        <w:gridCol w:w="268"/>
        <w:gridCol w:w="992"/>
        <w:gridCol w:w="391"/>
      </w:tblGrid>
      <w:tr>
        <w:trPr/>
        <w:tc>
          <w:tcPr>
            <w:tcW w:w="1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1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49,926</w:t>
            </w:r>
          </w:p>
        </w:tc>
        <w:tc>
          <w:tcPr>
            <w:tcW w:w="391" w:type="dxa"/>
            <w:tcBorders/>
            <w:shd w:fill="auto" w:val="cle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4,171</w:t>
            </w:r>
          </w:p>
        </w:tc>
        <w:tc>
          <w:tcPr>
            <w:tcW w:w="391" w:type="dxa"/>
            <w:tcBorders/>
            <w:shd w:fill="auto" w:val="cle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133,216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138,620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5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192,717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Property and Equipment, Net</w:t>
      </w:r>
    </w:p>
    <w:tbl>
      <w:tblPr>
        <w:tblW w:w="7485" w:type="dxa"/>
        <w:jc w:val="left"/>
        <w:tblInd w:w="0" w:type="dxa"/>
        <w:tblCellMar>
          <w:top w:w="28" w:type="dxa"/>
          <w:left w:w="28" w:type="dxa"/>
          <w:bottom w:w="28" w:type="dxa"/>
          <w:right w:w="28" w:type="dxa"/>
        </w:tblCellMar>
      </w:tblPr>
      <w:tblGrid>
        <w:gridCol w:w="4381"/>
        <w:gridCol w:w="146"/>
        <w:gridCol w:w="217"/>
        <w:gridCol w:w="758"/>
        <w:gridCol w:w="166"/>
        <w:gridCol w:w="146"/>
        <w:gridCol w:w="280"/>
        <w:gridCol w:w="980"/>
        <w:gridCol w:w="411"/>
      </w:tblGrid>
      <w:tr>
        <w:trPr/>
        <w:tc>
          <w:tcPr>
            <w:tcW w:w="4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equipment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28,993</w:t>
            </w:r>
          </w:p>
        </w:tc>
        <w:tc>
          <w:tcPr>
            <w:tcW w:w="4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18,903</w:t>
            </w:r>
          </w:p>
        </w:tc>
        <w:tc>
          <w:tcPr>
            <w:tcW w:w="4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software and office equipment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7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16,205</w:t>
            </w:r>
          </w:p>
        </w:tc>
        <w:tc>
          <w:tcPr>
            <w:tcW w:w="4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2"/>
              <w:jc w:val="left"/>
              <w:rPr/>
            </w:pPr>
            <w:r>
              <w:rPr/>
              <w:t> </w:t>
            </w:r>
          </w:p>
        </w:tc>
      </w:tr>
      <w:tr>
        <w:trPr/>
        <w:tc>
          <w:tcPr>
            <w:tcW w:w="4381" w:type="dxa"/>
            <w:tcBorders/>
            <w:shd w:fill="auto" w:val="clear"/>
            <w:vAlign w:val="center"/>
          </w:tcPr>
          <w:p>
            <w:pPr>
              <w:pStyle w:val="TableContents"/>
              <w:spacing w:before="0" w:after="0"/>
              <w:ind w:left="202"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67,378</w:t>
            </w:r>
          </w:p>
        </w:tc>
        <w:tc>
          <w:tcPr>
            <w:tcW w:w="4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(32,451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34,927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Other Assets</w:t>
      </w:r>
    </w:p>
    <w:tbl>
      <w:tblPr>
        <w:tblW w:w="4515" w:type="dxa"/>
        <w:jc w:val="left"/>
        <w:tblInd w:w="0" w:type="dxa"/>
        <w:tblCellMar>
          <w:top w:w="28" w:type="dxa"/>
          <w:left w:w="28" w:type="dxa"/>
          <w:bottom w:w="28" w:type="dxa"/>
          <w:right w:w="28" w:type="dxa"/>
        </w:tblCellMar>
      </w:tblPr>
      <w:tblGrid>
        <w:gridCol w:w="1651"/>
        <w:gridCol w:w="146"/>
        <w:gridCol w:w="232"/>
        <w:gridCol w:w="743"/>
        <w:gridCol w:w="146"/>
        <w:gridCol w:w="146"/>
        <w:gridCol w:w="299"/>
        <w:gridCol w:w="961"/>
        <w:gridCol w:w="191"/>
      </w:tblGrid>
      <w:tr>
        <w:trPr/>
        <w:tc>
          <w:tcPr>
            <w:tcW w:w="1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45,175</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23,569</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75,290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Other Liabilities and Accrued Expenses</w:t>
      </w:r>
    </w:p>
    <w:tbl>
      <w:tblPr>
        <w:tblW w:w="7222" w:type="dxa"/>
        <w:jc w:val="left"/>
        <w:tblInd w:w="0" w:type="dxa"/>
        <w:tblCellMar>
          <w:top w:w="28" w:type="dxa"/>
          <w:left w:w="28" w:type="dxa"/>
          <w:bottom w:w="28" w:type="dxa"/>
          <w:right w:w="28" w:type="dxa"/>
        </w:tblCellMar>
      </w:tblPr>
      <w:tblGrid>
        <w:gridCol w:w="4141"/>
        <w:gridCol w:w="146"/>
        <w:gridCol w:w="211"/>
        <w:gridCol w:w="781"/>
        <w:gridCol w:w="146"/>
        <w:gridCol w:w="146"/>
        <w:gridCol w:w="268"/>
        <w:gridCol w:w="992"/>
        <w:gridCol w:w="391"/>
      </w:tblGrid>
      <w:tr>
        <w:trPr/>
        <w:tc>
          <w:tcPr>
            <w:tcW w:w="4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reserves for customer incentive programs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58,621</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reserves for sales return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27,199</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related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10,511</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11,051</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freight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12,486</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5,322</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6,259</w:t>
            </w:r>
          </w:p>
        </w:tc>
        <w:tc>
          <w:tcPr>
            <w:tcW w:w="3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152,485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164,470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Other Liabilities, Noncurrent</w:t>
      </w:r>
    </w:p>
    <w:tbl>
      <w:tblPr>
        <w:tblW w:w="6045" w:type="dxa"/>
        <w:jc w:val="left"/>
        <w:tblInd w:w="0" w:type="dxa"/>
        <w:tblCellMar>
          <w:top w:w="28" w:type="dxa"/>
          <w:left w:w="28" w:type="dxa"/>
          <w:bottom w:w="28" w:type="dxa"/>
          <w:right w:w="28" w:type="dxa"/>
        </w:tblCellMar>
      </w:tblPr>
      <w:tblGrid>
        <w:gridCol w:w="3181"/>
        <w:gridCol w:w="146"/>
        <w:gridCol w:w="232"/>
        <w:gridCol w:w="743"/>
        <w:gridCol w:w="146"/>
        <w:gridCol w:w="146"/>
        <w:gridCol w:w="299"/>
        <w:gridCol w:w="961"/>
        <w:gridCol w:w="191"/>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45,457</w:t>
            </w:r>
          </w:p>
        </w:tc>
        <w:tc>
          <w:tcPr>
            <w:tcW w:w="1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48,589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Nonmonetary Transactions</w:t>
      </w:r>
    </w:p>
    <w:p>
      <w:pPr>
        <w:pStyle w:val="TextBody"/>
        <w:spacing w:before="120" w:after="0"/>
        <w:jc w:val="left"/>
        <w:rPr>
          <w:rFonts w:ascii="Times New Roman" w:hAnsi="Times New Roman"/>
          <w:sz w:val="20"/>
        </w:rPr>
      </w:pPr>
      <w:r>
        <w:rPr>
          <w:rFonts w:ascii="Times New Roman;serif" w:hAnsi="Times New Roman;serif"/>
          <w:b w:val="false"/>
          <w:sz w:val="20"/>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March 31, 2023, we recognized $0.6</w:t>
      </w:r>
      <w:r>
        <w:rPr>
          <w:rFonts w:ascii="Times New Roman" w:hAnsi="Times New Roman"/>
          <w:sz w:val="20"/>
        </w:rPr>
        <w:t xml:space="preserve"> </w:t>
      </w:r>
      <w:r>
        <w:rPr>
          <w:rFonts w:ascii="Times New Roman;serif" w:hAnsi="Times New Roman;serif"/>
          <w:b w:val="false"/>
          <w:sz w:val="20"/>
        </w:rPr>
        <w:t>million prepaid inventory and $0.8</w:t>
      </w:r>
      <w:r>
        <w:rPr>
          <w:rFonts w:ascii="Times New Roman" w:hAnsi="Times New Roman"/>
          <w:sz w:val="20"/>
        </w:rPr>
        <w:t xml:space="preserve"> </w:t>
      </w:r>
      <w:r>
        <w:rPr>
          <w:rFonts w:ascii="Times New Roman;serif" w:hAnsi="Times New Roman;serif"/>
          <w:b w:val="false"/>
          <w:sz w:val="20"/>
        </w:rPr>
        <w:t>million accrued liabilities and as of December 31, 2022, we recognized $1.0</w:t>
      </w:r>
      <w:r>
        <w:rPr>
          <w:rFonts w:ascii="Times New Roman" w:hAnsi="Times New Roman"/>
          <w:sz w:val="20"/>
        </w:rPr>
        <w:t xml:space="preserve"> </w:t>
      </w:r>
      <w:r>
        <w:rPr>
          <w:rFonts w:ascii="Times New Roman;serif" w:hAnsi="Times New Roman;serif"/>
          <w:b w:val="false"/>
          <w:sz w:val="20"/>
        </w:rPr>
        <w:t>million prepaid inventory and $1.3</w:t>
      </w:r>
      <w:r>
        <w:rPr>
          <w:rFonts w:ascii="Times New Roman" w:hAnsi="Times New Roman"/>
          <w:sz w:val="20"/>
        </w:rPr>
        <w:t xml:space="preserve"> </w:t>
      </w:r>
      <w:r>
        <w:rPr>
          <w:rFonts w:ascii="Times New Roman;serif" w:hAnsi="Times New Roman;serif"/>
          <w:b w:val="false"/>
          <w:sz w:val="20"/>
        </w:rPr>
        <w:t>million accrued liabilities in the condensed consolidated balance sheet.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the transactions are nonmonetary, they have not been included in the condensed consolidated statements of cash flows pursuant to ASC 230, Statement of Cash Flows.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8. Debt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debt consisted of the following (in thousands):</w:t>
      </w:r>
    </w:p>
    <w:tbl>
      <w:tblPr>
        <w:tblW w:w="7307" w:type="dxa"/>
        <w:jc w:val="left"/>
        <w:tblInd w:w="0" w:type="dxa"/>
        <w:tblCellMar>
          <w:top w:w="28" w:type="dxa"/>
          <w:left w:w="28" w:type="dxa"/>
          <w:bottom w:w="28" w:type="dxa"/>
          <w:right w:w="28" w:type="dxa"/>
        </w:tblCellMar>
      </w:tblPr>
      <w:tblGrid>
        <w:gridCol w:w="4351"/>
        <w:gridCol w:w="146"/>
        <w:gridCol w:w="211"/>
        <w:gridCol w:w="781"/>
        <w:gridCol w:w="166"/>
        <w:gridCol w:w="146"/>
        <w:gridCol w:w="233"/>
        <w:gridCol w:w="862"/>
        <w:gridCol w:w="411"/>
      </w:tblGrid>
      <w:tr>
        <w:trPr/>
        <w:tc>
          <w:tcPr>
            <w:tcW w:w="4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(variable rate) due September 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240,000</w:t>
            </w:r>
          </w:p>
        </w:tc>
        <w:tc>
          <w:tcPr>
            <w:tcW w:w="41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Debt discount and issuance cost, net of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debt,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238,665</w:t>
            </w:r>
          </w:p>
        </w:tc>
        <w:tc>
          <w:tcPr>
            <w:tcW w:w="411" w:type="dxa"/>
            <w:tcBorders/>
            <w:shd w:fill="auto" w:val="clear"/>
            <w:vAlign w:val="center"/>
          </w:tcPr>
          <w:p>
            <w:pPr>
              <w:pStyle w:val="TableContents"/>
              <w:spacing w:before="0" w:after="0"/>
              <w:ind w:left="0" w:right="0" w:firstLine="200"/>
              <w:jc w:val="left"/>
              <w:rPr/>
            </w:pPr>
            <w:r>
              <w:rPr/>
              <w:t> </w:t>
            </w:r>
          </w:p>
        </w:tc>
      </w:tr>
      <w:tr>
        <w:trPr/>
        <w:tc>
          <w:tcPr>
            <w:tcW w:w="43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debt maturing within one year,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220,390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232,170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Credit Agreement</w:t>
      </w:r>
    </w:p>
    <w:p>
      <w:pPr>
        <w:pStyle w:val="TextBody"/>
        <w:spacing w:before="120" w:after="0"/>
        <w:jc w:val="left"/>
        <w:rPr>
          <w:rFonts w:ascii="Times New Roman" w:hAnsi="Times New Roman"/>
          <w:sz w:val="20"/>
        </w:rPr>
      </w:pPr>
      <w:r>
        <w:rPr>
          <w:rFonts w:ascii="Times New Roman;serif" w:hAnsi="Times New Roman;serif"/>
          <w:b w:val="false"/>
          <w:sz w:val="20"/>
        </w:rPr>
        <w:t>On September 3, 2021, we entered into a new Credit Agreement (as amended, the “Credit Agreement”) which provides for a $100.0</w:t>
      </w:r>
      <w:r>
        <w:rPr>
          <w:rFonts w:ascii="Times New Roman" w:hAnsi="Times New Roman"/>
          <w:sz w:val="20"/>
        </w:rPr>
        <w:t xml:space="preserve"> </w:t>
      </w:r>
      <w:r>
        <w:rPr>
          <w:rFonts w:ascii="Times New Roman;serif" w:hAnsi="Times New Roman;serif"/>
          <w:b w:val="false"/>
          <w:sz w:val="20"/>
        </w:rPr>
        <w:t>million five-year revolving credit facility (“Revolving Facility”) and a $250.0</w:t>
      </w:r>
      <w:r>
        <w:rPr>
          <w:rFonts w:ascii="Times New Roman" w:hAnsi="Times New Roman"/>
          <w:sz w:val="20"/>
        </w:rPr>
        <w:t xml:space="preserve"> </w:t>
      </w:r>
      <w:r>
        <w:rPr>
          <w:rFonts w:ascii="Times New Roman;serif" w:hAnsi="Times New Roman;serif"/>
          <w:b w:val="false"/>
          <w:sz w:val="20"/>
        </w:rPr>
        <w:t>million five-year term loan facility (“Term Loan”), with each maturing in September 2026. The Credit Agreement also permits, subject to conditions stated therein, additional incremental facilities in a maximum aggregate principal amount not to exceed $250.0</w:t>
      </w:r>
      <w:r>
        <w:rPr>
          <w:rFonts w:ascii="Times New Roman" w:hAnsi="Times New Roman"/>
          <w:sz w:val="20"/>
        </w:rPr>
        <w:t xml:space="preserve"> </w:t>
      </w:r>
      <w:r>
        <w:rPr>
          <w:rFonts w:ascii="Times New Roman;serif" w:hAnsi="Times New Roman;serif"/>
          <w:b w:val="false"/>
          <w:sz w:val="20"/>
        </w:rPr>
        <w:t>million. We may prepay the Term Loan and the Revolving Facility at any time without premium or penalty. We prepaid $3.75</w:t>
      </w:r>
      <w:r>
        <w:rPr>
          <w:rFonts w:ascii="Times New Roman" w:hAnsi="Times New Roman"/>
          <w:sz w:val="20"/>
        </w:rPr>
        <w:t xml:space="preserve"> </w:t>
      </w:r>
      <w:r>
        <w:rPr>
          <w:rFonts w:ascii="Times New Roman;serif" w:hAnsi="Times New Roman;serif"/>
          <w:b w:val="false"/>
          <w:sz w:val="20"/>
        </w:rPr>
        <w:t>million and $8.75</w:t>
      </w:r>
      <w:r>
        <w:rPr>
          <w:rFonts w:ascii="Times New Roman" w:hAnsi="Times New Roman"/>
          <w:sz w:val="20"/>
        </w:rPr>
        <w:t xml:space="preserve"> </w:t>
      </w:r>
      <w:r>
        <w:rPr>
          <w:rFonts w:ascii="Times New Roman;serif" w:hAnsi="Times New Roman;serif"/>
          <w:b w:val="false"/>
          <w:sz w:val="20"/>
        </w:rPr>
        <w:t>million of the Term Loan principal in the year ended December 31, 2022 and in the three months ended March 31, 2023, respectively.</w:t>
      </w:r>
    </w:p>
    <w:p>
      <w:pPr>
        <w:pStyle w:val="TextBody"/>
        <w:spacing w:before="120" w:after="0"/>
        <w:jc w:val="left"/>
        <w:rPr>
          <w:rFonts w:ascii="Times New Roman" w:hAnsi="Times New Roman"/>
          <w:sz w:val="20"/>
        </w:rPr>
      </w:pPr>
      <w:r>
        <w:rPr>
          <w:rFonts w:ascii="Times New Roman;serif" w:hAnsi="Times New Roman;serif"/>
          <w:b w:val="false"/>
          <w:sz w:val="20"/>
        </w:rPr>
        <w:t>The Term Loan and Revolving Facility under the Credit Agreement initially carried interest at the Company’s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Credit Agreement contains covenants with which we must comply during the term of the agreement, which we believe are ordinary and standard for agreements of this nature. The financial covenants include the maintenance of a maximum Consolidated Total Net Leverage Ratio of 3.0</w:t>
      </w:r>
      <w:r>
        <w:rPr>
          <w:rFonts w:ascii="Times New Roman" w:hAnsi="Times New Roman"/>
          <w:sz w:val="20"/>
        </w:rPr>
        <w:t xml:space="preserve"> </w:t>
      </w:r>
      <w:r>
        <w:rPr>
          <w:rFonts w:ascii="Times New Roman;serif" w:hAnsi="Times New Roman;serif"/>
          <w:b w:val="false"/>
          <w:sz w:val="20"/>
        </w:rPr>
        <w:t>to 1.0 and a minimum Consolidated Interest Coverage Ratio of 3.0</w:t>
      </w:r>
      <w:r>
        <w:rPr>
          <w:rFonts w:ascii="Times New Roman" w:hAnsi="Times New Roman"/>
          <w:sz w:val="20"/>
        </w:rPr>
        <w:t xml:space="preserve"> </w:t>
      </w:r>
      <w:r>
        <w:rPr>
          <w:rFonts w:ascii="Times New Roman;serif" w:hAnsi="Times New Roman;serif"/>
          <w:b w:val="false"/>
          <w:sz w:val="20"/>
        </w:rPr>
        <w:t>to 1.0 (as defined in the Credit Agreement).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 increased by 2.0%.</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the Company’s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w:t>
      </w:r>
      <w:r>
        <w:rPr>
          <w:rFonts w:ascii="Times New Roman" w:hAnsi="Times New Roman"/>
          <w:sz w:val="20"/>
        </w:rPr>
        <w:t xml:space="preserve"> </w:t>
      </w:r>
      <w:r>
        <w:rPr>
          <w:rFonts w:ascii="Times New Roman;serif" w:hAnsi="Times New Roman;serif"/>
          <w:b w:val="false"/>
          <w:sz w:val="20"/>
        </w:rPr>
        <w:t>to 1.0 between the quarters ending September 30, 2022 through and including March 31, 2023, and such ratio will revert to 3.00</w:t>
      </w:r>
      <w:r>
        <w:rPr>
          <w:rFonts w:ascii="Times New Roman" w:hAnsi="Times New Roman"/>
          <w:sz w:val="20"/>
        </w:rPr>
        <w:t xml:space="preserve"> </w:t>
      </w:r>
      <w:r>
        <w:rPr>
          <w:rFonts w:ascii="Times New Roman;serif" w:hAnsi="Times New Roman;serif"/>
          <w:b w:val="false"/>
          <w:sz w:val="20"/>
        </w:rPr>
        <w:t>to 1.00 from the quarter ended June 30, 2023 and each quarter thereafter, provided that, upon the occurrence of a Qualified Acquisition (as defined in the Credit Agreement), such ratio can be increased to 3.50</w:t>
      </w:r>
      <w:r>
        <w:rPr>
          <w:rFonts w:ascii="Times New Roman" w:hAnsi="Times New Roman"/>
          <w:sz w:val="20"/>
        </w:rPr>
        <w:t xml:space="preserve"> </w:t>
      </w:r>
      <w:r>
        <w:rPr>
          <w:rFonts w:ascii="Times New Roman;serif" w:hAnsi="Times New Roman;serif"/>
          <w:b w:val="false"/>
          <w:sz w:val="20"/>
        </w:rPr>
        <w:t>to 1.0 temporarily provided all the requirements set forth in the Credit Agreement are met.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29, 2022, we entered into an accounts receivable Factoring Agreement with a Factor. See Note 7 “Balance Sheet Components – Accounts Receivable, Net” for additional information on the Factoring Agreement.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pStyle w:val="TextBody"/>
        <w:spacing w:before="120" w:after="0"/>
        <w:jc w:val="left"/>
        <w:rPr>
          <w:rFonts w:ascii="Times New Roman" w:hAnsi="Times New Roman"/>
          <w:sz w:val="20"/>
        </w:rPr>
      </w:pPr>
      <w:r>
        <w:rPr>
          <w:rFonts w:ascii="Times New Roman;serif" w:hAnsi="Times New Roman;serif"/>
          <w:b w:val="false"/>
          <w:sz w:val="20"/>
        </w:rPr>
        <w:t>On November 28, 2022, we entered into a Third Amendment (“Third Amendment”) to the Credit Agreement that provides for, among other things, (i) a decrease in the required minimum Consolidated Interest Coverage Ratio (as defined in the Credit Agreement) to 2.50</w:t>
      </w:r>
      <w:r>
        <w:rPr>
          <w:rFonts w:ascii="Times New Roman" w:hAnsi="Times New Roman"/>
          <w:sz w:val="20"/>
        </w:rPr>
        <w:t xml:space="preserve"> </w:t>
      </w:r>
      <w:r>
        <w:rPr>
          <w:rFonts w:ascii="Times New Roman;serif" w:hAnsi="Times New Roman;serif"/>
          <w:b w:val="false"/>
          <w:sz w:val="20"/>
        </w:rPr>
        <w:t>to 1.00 for the quarters ending on and after March 31, 2023 through and including December 31, 2023, (ii) an increase in the maximum permitted Consolidated Total Net Leverage Ratio (as defined in the Credit Agreement) to 3.75</w:t>
      </w:r>
      <w:r>
        <w:rPr>
          <w:rFonts w:ascii="Times New Roman" w:hAnsi="Times New Roman"/>
          <w:sz w:val="20"/>
        </w:rPr>
        <w:t xml:space="preserve"> </w:t>
      </w:r>
      <w:r>
        <w:rPr>
          <w:rFonts w:ascii="Times New Roman;serif" w:hAnsi="Times New Roman;serif"/>
          <w:b w:val="false"/>
          <w:sz w:val="20"/>
        </w:rPr>
        <w:t>to 1.00 for the quarters ending December 31, 2022 and March 31, 2023, stepping down to 3.50</w:t>
      </w:r>
      <w:r>
        <w:rPr>
          <w:rFonts w:ascii="Times New Roman" w:hAnsi="Times New Roman"/>
          <w:sz w:val="20"/>
        </w:rPr>
        <w:t xml:space="preserve"> </w:t>
      </w:r>
      <w:r>
        <w:rPr>
          <w:rFonts w:ascii="Times New Roman;serif" w:hAnsi="Times New Roman;serif"/>
          <w:b w:val="false"/>
          <w:sz w:val="20"/>
        </w:rPr>
        <w:t>to 1.00 for the quarter ending June 30, 2023, and 3.25</w:t>
      </w:r>
      <w:r>
        <w:rPr>
          <w:rFonts w:ascii="Times New Roman" w:hAnsi="Times New Roman"/>
          <w:sz w:val="20"/>
        </w:rPr>
        <w:t xml:space="preserve"> </w:t>
      </w:r>
      <w:r>
        <w:rPr>
          <w:rFonts w:ascii="Times New Roman;serif" w:hAnsi="Times New Roman;serif"/>
          <w:b w:val="false"/>
          <w:sz w:val="20"/>
        </w:rPr>
        <w:t>to 1.00</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quarters ending September 30, 2023 and December 31, 2023, and (iii) a modified pricing grid providing for an increased margin (ranging from (x) 1.50% per annum to 3.25% per annum for loans bearing interest at the BSBY rate, and (y) 0.50% per annum to 2.25% per annum for loans bearing interest at the base rate, in each case depending on the Company’s Consolidated Total Net Leverage Ratio) for the period of December 31, 2022 through December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First, Second and Third Amendment were accounted for as debt modifications.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were not in default under the Credit Agreement.</w:t>
      </w:r>
    </w:p>
    <w:p>
      <w:pPr>
        <w:pStyle w:val="TextBody"/>
        <w:spacing w:before="120" w:after="0"/>
        <w:jc w:val="left"/>
        <w:rPr>
          <w:rFonts w:ascii="Times New Roman" w:hAnsi="Times New Roman"/>
          <w:sz w:val="20"/>
        </w:rPr>
      </w:pPr>
      <w:r>
        <w:rPr>
          <w:rFonts w:ascii="Times New Roman;serif" w:hAnsi="Times New Roman;serif"/>
          <w:b w:val="false"/>
          <w:sz w:val="20"/>
        </w:rPr>
        <w:t>As of March 31, 2023</w:t>
      </w:r>
      <w:r>
        <w:rPr>
          <w:rFonts w:ascii="Times New Roman" w:hAnsi="Times New Roman"/>
          <w:sz w:val="20"/>
        </w:rPr>
        <w:t xml:space="preserve"> </w:t>
      </w:r>
      <w:r>
        <w:rPr>
          <w:rFonts w:ascii="Times New Roman;serif" w:hAnsi="Times New Roman;serif"/>
          <w:b w:val="false"/>
          <w:sz w:val="20"/>
        </w:rPr>
        <w:t>and December 31, 2022, we had no</w:t>
      </w:r>
      <w:r>
        <w:rPr>
          <w:rFonts w:ascii="Times New Roman" w:hAnsi="Times New Roman"/>
          <w:sz w:val="20"/>
        </w:rPr>
        <w:t xml:space="preserve"> </w:t>
      </w:r>
      <w:r>
        <w:rPr>
          <w:rFonts w:ascii="Times New Roman;serif" w:hAnsi="Times New Roman;serif"/>
          <w:b w:val="false"/>
          <w:sz w:val="20"/>
        </w:rPr>
        <w:t>outstanding balance under the Revolving Facility.</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carrying value of our Term Loan was $228.8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$238.7</w:t>
      </w:r>
      <w:r>
        <w:rPr>
          <w:rFonts w:ascii="Times New Roman" w:hAnsi="Times New Roman"/>
          <w:sz w:val="20"/>
        </w:rPr>
        <w:t xml:space="preserve"> </w:t>
      </w:r>
      <w:r>
        <w:rPr>
          <w:rFonts w:ascii="Times New Roman;serif" w:hAnsi="Times New Roman;serif"/>
          <w:b w:val="false"/>
          <w:sz w:val="20"/>
        </w:rPr>
        <w:t>million, respectively. The estimated fair value of the Term Loan as of March 31, 2023, which we have classified as a Level 2 financial instrument, was approximately $234.6</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effective interest rate inclusive of the debt discount and debt issuance costs was approximately 7.06% and 1.49% for the three months ended March 31, 2023 and 2022, respectively.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interest expense recognized for all periods presented (in thousands):</w:t>
      </w:r>
    </w:p>
    <w:tbl>
      <w:tblPr>
        <w:tblW w:w="6764" w:type="dxa"/>
        <w:jc w:val="left"/>
        <w:tblInd w:w="0" w:type="dxa"/>
        <w:tblCellMar>
          <w:top w:w="28" w:type="dxa"/>
          <w:left w:w="28" w:type="dxa"/>
          <w:bottom w:w="28" w:type="dxa"/>
          <w:right w:w="28" w:type="dxa"/>
        </w:tblCellMar>
      </w:tblPr>
      <w:tblGrid>
        <w:gridCol w:w="4291"/>
        <w:gridCol w:w="146"/>
        <w:gridCol w:w="211"/>
        <w:gridCol w:w="631"/>
        <w:gridCol w:w="166"/>
        <w:gridCol w:w="146"/>
        <w:gridCol w:w="211"/>
        <w:gridCol w:w="571"/>
        <w:gridCol w:w="391"/>
      </w:tblGrid>
      <w:tr>
        <w:trPr/>
        <w:tc>
          <w:tcPr>
            <w:tcW w:w="4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Agreement:</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42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Contractual interest expense for Term Loan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391" w:type="dxa"/>
            <w:tcBorders/>
            <w:shd w:fill="auto" w:val="clear"/>
            <w:vAlign w:val="center"/>
          </w:tcPr>
          <w:p>
            <w:pPr>
              <w:pStyle w:val="TableContents"/>
              <w:spacing w:before="0" w:after="0"/>
              <w:ind w:left="0" w:right="0" w:firstLine="100"/>
              <w:jc w:val="left"/>
              <w:rPr/>
            </w:pPr>
            <w:r>
              <w:rPr/>
              <w:t> </w:t>
            </w:r>
          </w:p>
        </w:tc>
      </w:tr>
      <w:tr>
        <w:trPr/>
        <w:tc>
          <w:tcPr>
            <w:tcW w:w="42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Contractual interest expense for Revolving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391" w:type="dxa"/>
            <w:tcBorders/>
            <w:shd w:fill="auto" w:val="clear"/>
            <w:vAlign w:val="center"/>
          </w:tcPr>
          <w:p>
            <w:pPr>
              <w:pStyle w:val="TableContents"/>
              <w:spacing w:before="0" w:after="0"/>
              <w:ind w:left="0" w:right="0" w:firstLine="100"/>
              <w:jc w:val="left"/>
              <w:rPr/>
            </w:pPr>
            <w:r>
              <w:rPr/>
              <w:t> </w:t>
            </w:r>
          </w:p>
        </w:tc>
      </w:tr>
      <w:tr>
        <w:trPr/>
        <w:tc>
          <w:tcPr>
            <w:tcW w:w="42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Amortization of debt discount and issuance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2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interest expense recognized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The estimated future principal payments under our total long-term debt as of March 31, 2023 are as follows (in thousands):</w:t>
      </w:r>
    </w:p>
    <w:tbl>
      <w:tblPr>
        <w:tblW w:w="3210" w:type="dxa"/>
        <w:jc w:val="left"/>
        <w:tblInd w:w="0" w:type="dxa"/>
        <w:tblCellMar>
          <w:top w:w="28" w:type="dxa"/>
          <w:left w:w="28" w:type="dxa"/>
          <w:bottom w:w="28" w:type="dxa"/>
          <w:right w:w="28" w:type="dxa"/>
        </w:tblCellMar>
      </w:tblPr>
      <w:tblGrid>
        <w:gridCol w:w="1681"/>
        <w:gridCol w:w="146"/>
        <w:gridCol w:w="211"/>
        <w:gridCol w:w="781"/>
        <w:gridCol w:w="3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5,625</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199,375</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9. Commitments and Contingencies</w:t>
      </w:r>
    </w:p>
    <w:p>
      <w:pPr>
        <w:pStyle w:val="TextBody"/>
        <w:spacing w:before="120" w:after="0"/>
        <w:jc w:val="left"/>
        <w:rPr>
          <w:rFonts w:ascii="Times New Roman;serif" w:hAnsi="Times New Roman;serif"/>
          <w:b/>
          <w:i/>
          <w:sz w:val="20"/>
        </w:rPr>
      </w:pPr>
      <w:r>
        <w:rPr>
          <w:rFonts w:ascii="Times New Roman;serif" w:hAnsi="Times New Roman;serif"/>
          <w:b/>
          <w:i/>
          <w:sz w:val="20"/>
        </w:rPr>
        <w:t>Product Warranties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our warranty obligations were as follows (in thousands):</w:t>
      </w:r>
    </w:p>
    <w:tbl>
      <w:tblPr>
        <w:tblW w:w="6479" w:type="dxa"/>
        <w:jc w:val="left"/>
        <w:tblInd w:w="0" w:type="dxa"/>
        <w:tblCellMar>
          <w:top w:w="28" w:type="dxa"/>
          <w:left w:w="28" w:type="dxa"/>
          <w:bottom w:w="28" w:type="dxa"/>
          <w:right w:w="28" w:type="dxa"/>
        </w:tblCellMar>
      </w:tblPr>
      <w:tblGrid>
        <w:gridCol w:w="3946"/>
        <w:gridCol w:w="146"/>
        <w:gridCol w:w="211"/>
        <w:gridCol w:w="631"/>
        <w:gridCol w:w="166"/>
        <w:gridCol w:w="146"/>
        <w:gridCol w:w="211"/>
        <w:gridCol w:w="631"/>
        <w:gridCol w:w="391"/>
      </w:tblGrid>
      <w:tr>
        <w:trPr/>
        <w:tc>
          <w:tcPr>
            <w:tcW w:w="3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5,655</w:t>
            </w:r>
          </w:p>
        </w:tc>
        <w:tc>
          <w:tcPr>
            <w:tcW w:w="391" w:type="dxa"/>
            <w:tcBorders/>
            <w:shd w:fill="auto" w:val="clear"/>
            <w:vAlign w:val="center"/>
          </w:tcPr>
          <w:p>
            <w:pPr>
              <w:pStyle w:val="TableContents"/>
              <w:spacing w:before="0" w:after="0"/>
              <w:ind w:left="0" w:right="0" w:firstLine="200"/>
              <w:jc w:val="left"/>
              <w:rPr/>
            </w:pPr>
            <w:r>
              <w:rPr/>
              <w:t> </w:t>
            </w:r>
          </w:p>
        </w:tc>
      </w:tr>
      <w:tr>
        <w:trPr/>
        <w:tc>
          <w:tcPr>
            <w:tcW w:w="39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Warranty provision related to products shipped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w:t>
            </w:r>
          </w:p>
        </w:tc>
        <w:tc>
          <w:tcPr>
            <w:tcW w:w="391" w:type="dxa"/>
            <w:tcBorders/>
            <w:shd w:fill="auto" w:val="clear"/>
            <w:vAlign w:val="center"/>
          </w:tcPr>
          <w:p>
            <w:pPr>
              <w:pStyle w:val="TableContents"/>
              <w:spacing w:before="0" w:after="0"/>
              <w:ind w:left="0" w:right="0" w:firstLine="200"/>
              <w:jc w:val="left"/>
              <w:rPr/>
            </w:pPr>
            <w:r>
              <w:rPr/>
              <w:t> </w:t>
            </w:r>
          </w:p>
        </w:tc>
      </w:tr>
      <w:tr>
        <w:trPr/>
        <w:tc>
          <w:tcPr>
            <w:tcW w:w="39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Deductions for warranty claims processed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Unconditional Purchase Obligations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 the normal course of business, we enter into various purchase commitments for goods or services. Our long-term non-cancelable purchase commitments consist primarily of multi-year contractual arrangements relating to subscriptions for cloud computing hosting arrangements for our enterprise resource planning (ERP) system and the related support services as well as marketing sponsorships. Long-term non-cancelable purchase commitments as of March 31, 2023 were as follows (in thousands): </w:t>
      </w:r>
    </w:p>
    <w:tbl>
      <w:tblPr>
        <w:tblW w:w="3000" w:type="dxa"/>
        <w:jc w:val="left"/>
        <w:tblInd w:w="0" w:type="dxa"/>
        <w:tblCellMar>
          <w:top w:w="28" w:type="dxa"/>
          <w:left w:w="28" w:type="dxa"/>
          <w:bottom w:w="28" w:type="dxa"/>
          <w:right w:w="28" w:type="dxa"/>
        </w:tblCellMar>
      </w:tblPr>
      <w:tblGrid>
        <w:gridCol w:w="1681"/>
        <w:gridCol w:w="146"/>
        <w:gridCol w:w="211"/>
        <w:gridCol w:w="571"/>
        <w:gridCol w:w="3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Our total long term non-cancelable purchase commitments outstanding as of December 31, 2022 were $3.8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Letters of Credit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letters of credit outstanding, as of March 31, 2023</w:t>
      </w:r>
      <w:r>
        <w:rPr>
          <w:rFonts w:ascii="Times New Roman" w:hAnsi="Times New Roman"/>
          <w:sz w:val="20"/>
        </w:rPr>
        <w:t xml:space="preserve"> </w:t>
      </w:r>
      <w:r>
        <w:rPr>
          <w:rFonts w:ascii="Times New Roman;serif" w:hAnsi="Times New Roman;serif"/>
          <w:b w:val="false"/>
          <w:sz w:val="20"/>
        </w:rPr>
        <w:t>and December 31, 2022. No</w:t>
      </w:r>
      <w:r>
        <w:rPr>
          <w:rFonts w:ascii="Times New Roman" w:hAnsi="Times New Roman"/>
          <w:sz w:val="20"/>
        </w:rPr>
        <w:t xml:space="preserve"> </w:t>
      </w:r>
      <w:r>
        <w:rPr>
          <w:rFonts w:ascii="Times New Roman;serif" w:hAnsi="Times New Roman;serif"/>
          <w:b w:val="false"/>
          <w:sz w:val="20"/>
        </w:rPr>
        <w:t>amounts have been drawn upon letters of credit for all periods presented.</w:t>
      </w:r>
    </w:p>
    <w:p>
      <w:pPr>
        <w:pStyle w:val="TextBody"/>
        <w:spacing w:before="240" w:after="0"/>
        <w:jc w:val="left"/>
        <w:rPr>
          <w:rFonts w:ascii="Times New Roman;serif" w:hAnsi="Times New Roman;serif"/>
          <w:b/>
          <w:i/>
          <w:sz w:val="20"/>
        </w:rPr>
      </w:pPr>
      <w:r>
        <w:rPr>
          <w:rFonts w:ascii="Times New Roman;serif" w:hAnsi="Times New Roman;serif"/>
          <w:b/>
          <w:i/>
          <w:sz w:val="20"/>
        </w:rPr>
        <w:t>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pStyle w:val="TextBody"/>
        <w:spacing w:before="240" w:after="0"/>
        <w:jc w:val="left"/>
        <w:rPr>
          <w:rFonts w:ascii="Times New Roman;serif" w:hAnsi="Times New Roman;serif"/>
          <w:b/>
          <w:i/>
          <w:sz w:val="20"/>
        </w:rPr>
      </w:pPr>
      <w:r>
        <w:rPr>
          <w:rFonts w:ascii="Times New Roman;serif" w:hAnsi="Times New Roman;serif"/>
          <w:b/>
          <w:i/>
          <w:sz w:val="20"/>
        </w:rPr>
        <w:t>Indemnification</w:t>
      </w:r>
    </w:p>
    <w:p>
      <w:pPr>
        <w:pStyle w:val="TextBody"/>
        <w:spacing w:before="120" w:after="0"/>
        <w:jc w:val="left"/>
        <w:rPr>
          <w:rFonts w:ascii="Times New Roman" w:hAnsi="Times New Roman"/>
          <w:sz w:val="20"/>
        </w:rPr>
      </w:pPr>
      <w:r>
        <w:rPr>
          <w:rFonts w:ascii="Times New Roman;serif" w:hAnsi="Times New Roman;serif"/>
          <w:b w:val="false"/>
          <w:sz w:val="20"/>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w:t>
      </w:r>
      <w:r>
        <w:rPr>
          <w:rFonts w:ascii="Times New Roman" w:hAnsi="Times New Roman"/>
          <w:sz w:val="20"/>
        </w:rPr>
        <w:t xml:space="preserve"> </w:t>
      </w:r>
      <w:r>
        <w:rPr>
          <w:rFonts w:ascii="Times New Roman;serif" w:hAnsi="Times New Roman;serif"/>
          <w:b w:val="false"/>
          <w:sz w:val="20"/>
        </w:rPr>
        <w:t>claims that we are aware of that could have a material effect on our condensed consolidated balance sheets, statements of operations, or statements of cash flows. We currently have directors’ and officers’ insurance.</w:t>
      </w:r>
    </w:p>
    <w:p>
      <w:pPr>
        <w:pStyle w:val="TextBody"/>
        <w:spacing w:before="240" w:after="0"/>
        <w:jc w:val="left"/>
        <w:rPr>
          <w:rFonts w:ascii="Times New Roman;serif" w:hAnsi="Times New Roman;serif"/>
          <w:b/>
          <w:sz w:val="20"/>
        </w:rPr>
      </w:pPr>
      <w:r>
        <w:rPr>
          <w:rFonts w:ascii="Times New Roman;serif" w:hAnsi="Times New Roman;serif"/>
          <w:b/>
          <w:sz w:val="20"/>
        </w:rPr>
        <w:t>10. Stockholders’ Equity</w:t>
      </w:r>
    </w:p>
    <w:p>
      <w:pPr>
        <w:pStyle w:val="TextBody"/>
        <w:spacing w:before="120" w:after="0"/>
        <w:jc w:val="left"/>
        <w:rPr>
          <w:rFonts w:ascii="Times New Roman" w:hAnsi="Times New Roman"/>
          <w:sz w:val="20"/>
        </w:rPr>
      </w:pPr>
      <w:r>
        <w:rPr>
          <w:rFonts w:ascii="Times New Roman;serif" w:hAnsi="Times New Roman;serif"/>
          <w:b w:val="false"/>
          <w:sz w:val="20"/>
        </w:rPr>
        <w:t>On September 25, 2020, in connection with the closing of the IPO, we filed an Amended and Restated Certificate of Incorporation which increased the authorized shares of common stock for issuance to 300,000,000</w:t>
      </w:r>
      <w:r>
        <w:rPr>
          <w:rFonts w:ascii="Times New Roman" w:hAnsi="Times New Roman"/>
          <w:sz w:val="20"/>
        </w:rPr>
        <w:t xml:space="preserve"> </w:t>
      </w:r>
      <w:r>
        <w:rPr>
          <w:rFonts w:ascii="Times New Roman;serif" w:hAnsi="Times New Roman;serif"/>
          <w:b w:val="false"/>
          <w:sz w:val="20"/>
        </w:rPr>
        <w:t>and authorized 5,000,000</w:t>
      </w:r>
      <w:r>
        <w:rPr>
          <w:rFonts w:ascii="Times New Roman" w:hAnsi="Times New Roman"/>
          <w:sz w:val="20"/>
        </w:rPr>
        <w:t xml:space="preserve"> </w:t>
      </w:r>
      <w:r>
        <w:rPr>
          <w:rFonts w:ascii="Times New Roman;serif" w:hAnsi="Times New Roman;serif"/>
          <w:b w:val="false"/>
          <w:sz w:val="20"/>
        </w:rPr>
        <w:t>shares of preferred stock, with a par value of $0.0001</w:t>
      </w:r>
      <w:r>
        <w:rPr>
          <w:rFonts w:ascii="Times New Roman" w:hAnsi="Times New Roman"/>
          <w:sz w:val="20"/>
        </w:rPr>
        <w:t xml:space="preserve"> </w:t>
      </w:r>
      <w:r>
        <w:rPr>
          <w:rFonts w:ascii="Times New Roman;serif" w:hAnsi="Times New Roman;serif"/>
          <w:b w:val="false"/>
          <w:sz w:val="20"/>
        </w:rPr>
        <w:t>per share, for issuance. There were no</w:t>
      </w:r>
      <w:r>
        <w:rPr>
          <w:rFonts w:ascii="Times New Roman" w:hAnsi="Times New Roman"/>
          <w:sz w:val="20"/>
        </w:rPr>
        <w:t xml:space="preserve"> </w:t>
      </w:r>
      <w:r>
        <w:rPr>
          <w:rFonts w:ascii="Times New Roman;serif" w:hAnsi="Times New Roman;serif"/>
          <w:b w:val="false"/>
          <w:sz w:val="20"/>
        </w:rPr>
        <w:t>shares of preferred stock outstanding as of March 31, 2023 and December 31, 2022.</w:t>
      </w:r>
    </w:p>
    <w:p>
      <w:pPr>
        <w:pStyle w:val="TextBody"/>
        <w:spacing w:before="240" w:after="0"/>
        <w:jc w:val="left"/>
        <w:rPr>
          <w:rFonts w:ascii="Times New Roman;serif" w:hAnsi="Times New Roman;serif"/>
          <w:b/>
          <w:i/>
          <w:sz w:val="20"/>
        </w:rPr>
      </w:pPr>
      <w:r>
        <w:rPr>
          <w:rFonts w:ascii="Times New Roman;serif" w:hAnsi="Times New Roman;serif"/>
          <w:b/>
          <w:i/>
          <w:sz w:val="20"/>
        </w:rPr>
        <w:t>Shelf-Registration Statement</w:t>
      </w:r>
    </w:p>
    <w:p>
      <w:pPr>
        <w:pStyle w:val="TextBody"/>
        <w:spacing w:before="120" w:after="0"/>
        <w:jc w:val="left"/>
        <w:rPr>
          <w:rFonts w:ascii="Times New Roman" w:hAnsi="Times New Roman"/>
          <w:sz w:val="20"/>
        </w:rPr>
      </w:pPr>
      <w:r>
        <w:rPr>
          <w:rFonts w:ascii="Times New Roman;serif" w:hAnsi="Times New Roman;serif"/>
          <w:b w:val="false"/>
          <w:sz w:val="20"/>
        </w:rPr>
        <w:t>On July 22, 2022, we filed a shelf registration statement on Form S-3 with the SEC, which was declared effective August 1, 2022 (the “2022 Shelf Registration Statement”). The 2022 Shelf Registration Statement registered securities to be offered by us, in an amount up to $300.0</w:t>
      </w:r>
      <w:r>
        <w:rPr>
          <w:rFonts w:ascii="Times New Roman" w:hAnsi="Times New Roman"/>
          <w:sz w:val="20"/>
        </w:rPr>
        <w:t xml:space="preserve"> </w:t>
      </w:r>
      <w:r>
        <w:rPr>
          <w:rFonts w:ascii="Times New Roman;serif" w:hAnsi="Times New Roman;serif"/>
          <w:b w:val="false"/>
          <w:sz w:val="20"/>
        </w:rPr>
        <w:t>million, including common stock, preferred stock and warrants. In addition, the 2022 Shelf Registration Statement registered 54,179,559</w:t>
      </w:r>
      <w:r>
        <w:rPr>
          <w:rFonts w:ascii="Times New Roman" w:hAnsi="Times New Roman"/>
          <w:sz w:val="20"/>
        </w:rPr>
        <w:t xml:space="preserve"> </w:t>
      </w:r>
      <w:r>
        <w:rPr>
          <w:rFonts w:ascii="Times New Roman;serif" w:hAnsi="Times New Roman;serif"/>
          <w:b w:val="false"/>
          <w:sz w:val="20"/>
        </w:rPr>
        <w:t>shares of common stock held by the selling securityholders named in the 2022 Shelf Registration Statement. We did not receive any of the proceeds from the sale of the shares registered by the selling securityholders.</w:t>
      </w:r>
    </w:p>
    <w:p>
      <w:pPr>
        <w:pStyle w:val="TextBody"/>
        <w:spacing w:before="120" w:after="0"/>
        <w:jc w:val="left"/>
        <w:rPr>
          <w:rFonts w:ascii="Times New Roman" w:hAnsi="Times New Roman"/>
          <w:sz w:val="20"/>
        </w:rPr>
      </w:pPr>
      <w:r>
        <w:rPr>
          <w:rFonts w:ascii="Times New Roman;serif" w:hAnsi="Times New Roman;serif"/>
          <w:b w:val="false"/>
          <w:sz w:val="20"/>
        </w:rPr>
        <w:t>In November 2022, we sold 4,545,455</w:t>
      </w:r>
      <w:r>
        <w:rPr>
          <w:rFonts w:ascii="Times New Roman" w:hAnsi="Times New Roman"/>
          <w:sz w:val="20"/>
        </w:rPr>
        <w:t xml:space="preserve"> </w:t>
      </w:r>
      <w:r>
        <w:rPr>
          <w:rFonts w:ascii="Times New Roman;serif" w:hAnsi="Times New Roman;serif"/>
          <w:b w:val="false"/>
          <w:sz w:val="20"/>
        </w:rPr>
        <w:t>shares of common stock at a price of $16.50</w:t>
      </w:r>
      <w:r>
        <w:rPr>
          <w:rFonts w:ascii="Times New Roman" w:hAnsi="Times New Roman"/>
          <w:sz w:val="20"/>
        </w:rPr>
        <w:t xml:space="preserve"> </w:t>
      </w:r>
      <w:r>
        <w:rPr>
          <w:rFonts w:ascii="Times New Roman;serif" w:hAnsi="Times New Roman;serif"/>
          <w:b w:val="false"/>
          <w:sz w:val="20"/>
        </w:rPr>
        <w:t>per share in a registered underwritten public offering pursuant to the 2022 Shelf Registration Statement. Following the partial exercise in December 2022 by the underwriters of their option to purchase additional shares, we sold an additional 500,000</w:t>
      </w:r>
      <w:r>
        <w:rPr>
          <w:rFonts w:ascii="Times New Roman" w:hAnsi="Times New Roman"/>
          <w:sz w:val="20"/>
        </w:rPr>
        <w:t xml:space="preserve"> </w:t>
      </w:r>
      <w:r>
        <w:rPr>
          <w:rFonts w:ascii="Times New Roman;serif" w:hAnsi="Times New Roman;serif"/>
          <w:b w:val="false"/>
          <w:sz w:val="20"/>
        </w:rPr>
        <w:t>shares. The total proceeds from the underwritten public offering, net of underwriting discounts, commission and offering expenses, were approximately $81.0</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11. Equity Incentive Plans and Stock-Based Compensation</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have two active equity incentive plans: the 2020 Equity Incentive Plan and the Employee Stock Purchase Plan (“ESPP”).</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stock-based compensation expense by line item in the condensed consolidated statements of operations (in thousands):</w:t>
      </w:r>
    </w:p>
    <w:tbl>
      <w:tblPr>
        <w:tblW w:w="7879" w:type="dxa"/>
        <w:jc w:val="left"/>
        <w:tblInd w:w="0" w:type="dxa"/>
        <w:tblCellMar>
          <w:top w:w="28" w:type="dxa"/>
          <w:left w:w="28" w:type="dxa"/>
          <w:bottom w:w="28" w:type="dxa"/>
          <w:right w:w="28" w:type="dxa"/>
        </w:tblCellMar>
      </w:tblPr>
      <w:tblGrid>
        <w:gridCol w:w="5686"/>
        <w:gridCol w:w="146"/>
        <w:gridCol w:w="211"/>
        <w:gridCol w:w="571"/>
        <w:gridCol w:w="146"/>
        <w:gridCol w:w="146"/>
        <w:gridCol w:w="211"/>
        <w:gridCol w:w="571"/>
        <w:gridCol w:w="191"/>
      </w:tblGrid>
      <w:tr>
        <w:trPr/>
        <w:tc>
          <w:tcPr>
            <w:tcW w:w="5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5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91" w:type="dxa"/>
            <w:tcBorders/>
            <w:shd w:fill="auto" w:val="clear"/>
            <w:vAlign w:val="center"/>
          </w:tcPr>
          <w:p>
            <w:pPr>
              <w:pStyle w:val="TableContents"/>
              <w:spacing w:before="0" w:after="0"/>
              <w:ind w:left="0" w:right="0" w:hanging="0"/>
              <w:jc w:val="left"/>
              <w:rPr/>
            </w:pPr>
            <w:r>
              <w:rPr/>
              <w:t> </w:t>
            </w:r>
          </w:p>
        </w:tc>
      </w:tr>
      <w:tr>
        <w:trPr/>
        <w:tc>
          <w:tcPr>
            <w:tcW w:w="5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4,152</w:t>
            </w:r>
          </w:p>
        </w:tc>
        <w:tc>
          <w:tcPr>
            <w:tcW w:w="191" w:type="dxa"/>
            <w:tcBorders/>
            <w:shd w:fill="auto" w:val="clear"/>
            <w:vAlign w:val="center"/>
          </w:tcPr>
          <w:p>
            <w:pPr>
              <w:pStyle w:val="TableContents"/>
              <w:spacing w:before="0" w:after="0"/>
              <w:ind w:left="0" w:right="0" w:hanging="0"/>
              <w:jc w:val="left"/>
              <w:rPr/>
            </w:pPr>
            <w:r>
              <w:rPr/>
              <w:t> </w:t>
            </w:r>
          </w:p>
        </w:tc>
      </w:tr>
      <w:tr>
        <w:trPr/>
        <w:tc>
          <w:tcPr>
            <w:tcW w:w="5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 xml:space="preserve">Stock-based compensation expense, net of amounts capitalized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8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Income tax benefits related to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18"/>
        </w:rPr>
      </w:pPr>
      <w:r>
        <w:rPr>
          <w:rFonts w:ascii="Times New Roman;serif" w:hAnsi="Times New Roman;serif"/>
          <w:b w:val="false"/>
          <w:sz w:val="18"/>
        </w:rPr>
        <w:t>Total stock-based compensation expense capitalized in inventory and as cloud computing arrangement implementation costs were not material for each of the periods presented.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by type of grant, the total unrecognized stock-based compensation expense and the remaining period over which such expense is expected to be recognized (in thousands, except number of years):</w:t>
      </w:r>
    </w:p>
    <w:tbl>
      <w:tblPr>
        <w:tblW w:w="10205" w:type="dxa"/>
        <w:jc w:val="left"/>
        <w:tblInd w:w="0" w:type="dxa"/>
        <w:tblCellMar>
          <w:top w:w="28" w:type="dxa"/>
          <w:left w:w="28" w:type="dxa"/>
          <w:bottom w:w="28" w:type="dxa"/>
          <w:right w:w="28" w:type="dxa"/>
        </w:tblCellMar>
      </w:tblPr>
      <w:tblGrid>
        <w:gridCol w:w="4679"/>
        <w:gridCol w:w="146"/>
        <w:gridCol w:w="402"/>
        <w:gridCol w:w="1293"/>
        <w:gridCol w:w="146"/>
        <w:gridCol w:w="146"/>
        <w:gridCol w:w="3393"/>
      </w:tblGrid>
      <w:tr>
        <w:trPr/>
        <w:tc>
          <w:tcPr>
            <w:tcW w:w="46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3" w:type="dxa"/>
            <w:tcBorders/>
            <w:shd w:fill="auto" w:val="clear"/>
            <w:vAlign w:val="center"/>
          </w:tcPr>
          <w:p>
            <w:pPr>
              <w:pStyle w:val="TableContents"/>
              <w:spacing w:before="0" w:after="283"/>
              <w:rPr>
                <w:sz w:val="4"/>
                <w:szCs w:val="4"/>
              </w:rPr>
            </w:pPr>
            <w:r>
              <w:rPr>
                <w:sz w:val="4"/>
                <w:szCs w:val="4"/>
              </w:rPr>
            </w:r>
          </w:p>
        </w:tc>
      </w:tr>
      <w:tr>
        <w:trPr/>
        <w:tc>
          <w:tcPr>
            <w:tcW w:w="467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8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r>
      <w:tr>
        <w:trPr/>
        <w:tc>
          <w:tcPr>
            <w:tcW w:w="467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Unrecognized Expense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Remaining weighted average period (In years)</w:t>
            </w:r>
          </w:p>
        </w:tc>
      </w:tr>
      <w:tr>
        <w:trPr/>
        <w:tc>
          <w:tcPr>
            <w:tcW w:w="467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center"/>
              <w:rPr/>
            </w:pPr>
            <w:r>
              <w:rPr/>
              <w:t> </w:t>
            </w:r>
          </w:p>
        </w:tc>
      </w:tr>
      <w:tr>
        <w:trPr/>
        <w:tc>
          <w:tcPr>
            <w:tcW w:w="4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2.8</w:t>
            </w:r>
          </w:p>
        </w:tc>
      </w:tr>
      <w:tr>
        <w:trPr/>
        <w:tc>
          <w:tcPr>
            <w:tcW w:w="4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left"/>
              <w:rPr/>
            </w:pPr>
            <w:r>
              <w:rPr/>
              <w:t> </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2.9</w:t>
            </w:r>
          </w:p>
        </w:tc>
      </w:tr>
      <w:tr>
        <w:trPr/>
        <w:tc>
          <w:tcPr>
            <w:tcW w:w="46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ESPP</w:t>
            </w:r>
          </w:p>
        </w:tc>
        <w:tc>
          <w:tcPr>
            <w:tcW w:w="146" w:type="dxa"/>
            <w:tcBorders/>
            <w:shd w:fill="auto" w:val="cle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0.25</w:t>
            </w:r>
          </w:p>
        </w:tc>
      </w:tr>
      <w:tr>
        <w:trPr/>
        <w:tc>
          <w:tcPr>
            <w:tcW w:w="4679"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unrecognized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78,190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3"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 total intrinsic value of options exercised was $4.4</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The total fair value of restricted stock units vested was $4.9</w:t>
      </w:r>
      <w:r>
        <w:rPr>
          <w:rFonts w:ascii="Times New Roman" w:hAnsi="Times New Roman"/>
          <w:sz w:val="20"/>
        </w:rPr>
        <w:t xml:space="preserve"> </w:t>
      </w:r>
      <w:r>
        <w:rPr>
          <w:rFonts w:ascii="Times New Roman;serif" w:hAnsi="Times New Roman;serif"/>
          <w:b w:val="false"/>
          <w:sz w:val="20"/>
        </w:rPr>
        <w:t>million and $2.5</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240" w:after="0"/>
        <w:jc w:val="left"/>
        <w:rPr>
          <w:rFonts w:ascii="Times New Roman;serif" w:hAnsi="Times New Roman;serif"/>
          <w:b/>
          <w:sz w:val="20"/>
        </w:rPr>
      </w:pPr>
      <w:r>
        <w:rPr>
          <w:rFonts w:ascii="Times New Roman;serif" w:hAnsi="Times New Roman;serif"/>
          <w:b/>
          <w:sz w:val="20"/>
        </w:rPr>
        <w:t>12. Net Loss Per Share</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summarizes the calculation of basic and diluted net loss per share (in thousands, except per share amounts):</w:t>
      </w:r>
    </w:p>
    <w:tbl>
      <w:tblPr>
        <w:tblW w:w="9619" w:type="dxa"/>
        <w:jc w:val="left"/>
        <w:tblInd w:w="0" w:type="dxa"/>
        <w:tblCellMar>
          <w:top w:w="28" w:type="dxa"/>
          <w:left w:w="28" w:type="dxa"/>
          <w:bottom w:w="28" w:type="dxa"/>
          <w:right w:w="28" w:type="dxa"/>
        </w:tblCellMar>
      </w:tblPr>
      <w:tblGrid>
        <w:gridCol w:w="6871"/>
        <w:gridCol w:w="146"/>
        <w:gridCol w:w="211"/>
        <w:gridCol w:w="781"/>
        <w:gridCol w:w="166"/>
        <w:gridCol w:w="146"/>
        <w:gridCol w:w="211"/>
        <w:gridCol w:w="676"/>
        <w:gridCol w:w="411"/>
      </w:tblGrid>
      <w:tr>
        <w:trPr/>
        <w:tc>
          <w:tcPr>
            <w:tcW w:w="6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8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6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8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8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8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redemption value of redeemable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 of Corsair Gaming, Inc.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weighted-average shares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95,275</w:t>
            </w:r>
          </w:p>
        </w:tc>
        <w:tc>
          <w:tcPr>
            <w:tcW w:w="411" w:type="dxa"/>
            <w:tcBorders/>
            <w:shd w:fill="auto" w:val="clear"/>
            <w:vAlign w:val="center"/>
          </w:tcPr>
          <w:p>
            <w:pPr>
              <w:pStyle w:val="TableContents"/>
              <w:spacing w:before="0" w:after="0"/>
              <w:ind w:left="0" w:right="0" w:hanging="0"/>
              <w:jc w:val="left"/>
              <w:rPr/>
            </w:pPr>
            <w:r>
              <w:rPr/>
              <w:t> </w:t>
            </w:r>
          </w:p>
        </w:tc>
      </w:tr>
      <w:tr>
        <w:trPr/>
        <w:tc>
          <w:tcPr>
            <w:tcW w:w="68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Effect of dilutive securities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diluted weighted-average shares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95,275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 per share attributable to common stockholders of Corsair Gaming, Inc.:</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68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8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871" w:type="dxa"/>
            <w:tcBorders/>
            <w:shd w:fill="auto" w:val="cle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0"/>
              </w:rPr>
              <w:t xml:space="preserve">Anti-dilutive potential common shares </w:t>
            </w:r>
            <w:r>
              <w:rPr>
                <w:rFonts w:ascii="Calibri;sans-serif" w:hAnsi="Calibri;sans-serif"/>
                <w:b w:val="false"/>
                <w:sz w:val="15"/>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10,383</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pPr>
      <w:r>
        <w:rPr>
          <w:rFonts w:ascii="Times New Roman;serif" w:hAnsi="Times New Roman;serif"/>
          <w:b w:val="false"/>
          <w:sz w:val="18"/>
        </w:rPr>
        <w:t>Potential common share equivalents were not included in the calculation of diluted net loss per share as the effect would have been anti-dilutive.</w:t>
      </w:r>
      <w:r>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13. Income Taxes</w:t>
      </w:r>
    </w:p>
    <w:p>
      <w:pPr>
        <w:pStyle w:val="TextBody"/>
        <w:spacing w:before="120" w:after="0"/>
        <w:jc w:val="left"/>
        <w:rPr>
          <w:rFonts w:ascii="Times New Roman" w:hAnsi="Times New Roman"/>
          <w:sz w:val="20"/>
        </w:rPr>
      </w:pPr>
      <w:r>
        <w:rPr>
          <w:rFonts w:ascii="Times New Roman;serif" w:hAnsi="Times New Roman;serif"/>
          <w:b w:val="false"/>
          <w:sz w:val="20"/>
        </w:rPr>
        <w:t>The table below presents our loss before income taxes, income tax benefit and effective income tax rates for all periods presented (in thousands, except percentages):</w:t>
      </w:r>
      <w:r>
        <w:rPr>
          <w:rFonts w:ascii="Times New Roman" w:hAnsi="Times New Roman"/>
          <w:sz w:val="20"/>
        </w:rPr>
        <w:t xml:space="preserve"> </w:t>
      </w:r>
    </w:p>
    <w:tbl>
      <w:tblPr>
        <w:tblW w:w="4844" w:type="dxa"/>
        <w:jc w:val="left"/>
        <w:tblInd w:w="0" w:type="dxa"/>
        <w:tblCellMar>
          <w:top w:w="28" w:type="dxa"/>
          <w:left w:w="28" w:type="dxa"/>
          <w:bottom w:w="28" w:type="dxa"/>
          <w:right w:w="28" w:type="dxa"/>
        </w:tblCellMar>
      </w:tblPr>
      <w:tblGrid>
        <w:gridCol w:w="2161"/>
        <w:gridCol w:w="146"/>
        <w:gridCol w:w="211"/>
        <w:gridCol w:w="631"/>
        <w:gridCol w:w="331"/>
        <w:gridCol w:w="146"/>
        <w:gridCol w:w="211"/>
        <w:gridCol w:w="631"/>
        <w:gridCol w:w="376"/>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7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(4,263</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376"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effective tax rates were (27.9)% and (23.1)% for the three months ended March 31, 2023 and 2022, respectively. The increase in our effective tax rate was primarily due to an increase in non-deductible stock-based compensation expense partially offset by an increase in windfall tax benefit from stock-based compensation expense.</w:t>
      </w:r>
    </w:p>
    <w:p>
      <w:pPr>
        <w:pStyle w:val="TextBody"/>
        <w:spacing w:before="120" w:after="0"/>
        <w:jc w:val="left"/>
        <w:rPr>
          <w:rFonts w:ascii="Times New Roman" w:hAnsi="Times New Roman"/>
          <w:sz w:val="20"/>
        </w:rPr>
      </w:pPr>
      <w:r>
        <w:rPr>
          <w:rFonts w:ascii="Times New Roman;serif" w:hAnsi="Times New Roman;serif"/>
          <w:b w:val="false"/>
          <w:sz w:val="20"/>
        </w:rPr>
        <w:t>Unrecognized tax benefits were $3.7</w:t>
      </w:r>
      <w:r>
        <w:rPr>
          <w:rFonts w:ascii="Times New Roman" w:hAnsi="Times New Roman"/>
          <w:sz w:val="20"/>
        </w:rPr>
        <w:t xml:space="preserve"> </w:t>
      </w:r>
      <w:r>
        <w:rPr>
          <w:rFonts w:ascii="Times New Roman;serif" w:hAnsi="Times New Roman;serif"/>
          <w:b w:val="false"/>
          <w:sz w:val="20"/>
        </w:rPr>
        <w:t>million as of March 31, 2023 and $3.6</w:t>
      </w:r>
      <w:r>
        <w:rPr>
          <w:rFonts w:ascii="Times New Roman" w:hAnsi="Times New Roman"/>
          <w:sz w:val="20"/>
        </w:rPr>
        <w:t xml:space="preserve"> </w:t>
      </w:r>
      <w:r>
        <w:rPr>
          <w:rFonts w:ascii="Times New Roman;serif" w:hAnsi="Times New Roman;serif"/>
          <w:b w:val="false"/>
          <w:sz w:val="20"/>
        </w:rPr>
        <w:t>million as of December 31, 2022, respectively, and if recognized, would favorably affect the effective income tax rate in future periods.</w:t>
      </w:r>
    </w:p>
    <w:p>
      <w:pPr>
        <w:pStyle w:val="TextBody"/>
        <w:spacing w:before="240" w:after="0"/>
        <w:jc w:val="left"/>
        <w:rPr>
          <w:rFonts w:ascii="Times New Roman;serif" w:hAnsi="Times New Roman;serif"/>
          <w:b/>
          <w:sz w:val="20"/>
        </w:rPr>
      </w:pPr>
      <w:r>
        <w:rPr>
          <w:rFonts w:ascii="Times New Roman;serif" w:hAnsi="Times New Roman;serif"/>
          <w:b/>
          <w:sz w:val="20"/>
        </w:rPr>
        <w:t>14. Segment and Geographic Information</w:t>
      </w:r>
    </w:p>
    <w:p>
      <w:pPr>
        <w:pStyle w:val="TextBody"/>
        <w:spacing w:before="120" w:after="0"/>
        <w:jc w:val="left"/>
        <w:rPr>
          <w:rFonts w:ascii="Times New Roman" w:hAnsi="Times New Roman"/>
          <w:sz w:val="20"/>
        </w:rPr>
      </w:pPr>
      <w:r>
        <w:rPr>
          <w:rFonts w:ascii="Times New Roman;serif" w:hAnsi="Times New Roman;serif"/>
          <w:b w:val="false"/>
          <w:sz w:val="20"/>
        </w:rPr>
        <w:t>We have two</w:t>
      </w:r>
      <w:r>
        <w:rPr>
          <w:rFonts w:ascii="Times New Roman" w:hAnsi="Times New Roman"/>
          <w:sz w:val="20"/>
        </w:rPr>
        <w:t xml:space="preserve"> </w:t>
      </w:r>
      <w:r>
        <w:rPr>
          <w:rFonts w:ascii="Times New Roman;serif" w:hAnsi="Times New Roman;serif"/>
          <w:b w:val="false"/>
          <w:sz w:val="20"/>
        </w:rPr>
        <w:t>reportable segments:</w:t>
      </w:r>
    </w:p>
    <w:p>
      <w:pPr>
        <w:pStyle w:val="TextBody"/>
        <w:spacing w:before="120" w:after="0"/>
        <w:jc w:val="left"/>
        <w:rPr/>
      </w:pPr>
      <w:r>
        <w:rPr/>
        <w:t>•</w:t>
      </w:r>
    </w:p>
    <w:p>
      <w:pPr>
        <w:pStyle w:val="TextBody"/>
        <w:spacing w:before="120" w:after="0"/>
        <w:jc w:val="left"/>
        <w:rPr>
          <w:rFonts w:ascii="Times New Roman;serif" w:hAnsi="Times New Roman;serif"/>
          <w:sz w:val="20"/>
        </w:rPr>
      </w:pPr>
      <w:r>
        <w:rPr>
          <w:rFonts w:ascii="Times New Roman;serif" w:hAnsi="Times New Roman;serif"/>
          <w:b/>
          <w:sz w:val="20"/>
        </w:rPr>
        <w:t>Gamer and Creator Peripherals</w:t>
      </w:r>
      <w:r>
        <w:rPr>
          <w:rFonts w:ascii="Times New Roman;serif" w:hAnsi="Times New Roman;serif"/>
          <w:b w:val="false"/>
          <w:sz w:val="20"/>
        </w:rPr>
        <w:t>. Includes our high-performance gaming keyboards, mice, headsets, controllers, and our streaming gear, which includes capture cards, Stream Decks, USB microphones, our Facecam streaming camera, studio accessories and EpocCam software, among others.</w:t>
      </w:r>
    </w:p>
    <w:p>
      <w:pPr>
        <w:pStyle w:val="TextBody"/>
        <w:spacing w:before="120" w:after="0"/>
        <w:jc w:val="left"/>
        <w:rPr/>
      </w:pPr>
      <w:r>
        <w:rPr/>
        <w:t>•</w:t>
      </w:r>
    </w:p>
    <w:p>
      <w:pPr>
        <w:pStyle w:val="TextBody"/>
        <w:spacing w:before="120" w:after="283"/>
        <w:jc w:val="left"/>
        <w:rPr>
          <w:rFonts w:ascii="Times New Roman;serif" w:hAnsi="Times New Roman;serif"/>
          <w:sz w:val="20"/>
        </w:rPr>
      </w:pPr>
      <w:r>
        <w:rPr>
          <w:rFonts w:ascii="Times New Roman;serif" w:hAnsi="Times New Roman;serif"/>
          <w:b/>
          <w:sz w:val="20"/>
        </w:rPr>
        <w:t>Gaming Components and Systems</w:t>
      </w:r>
      <w:r>
        <w:rPr>
          <w:rFonts w:ascii="Times New Roman;serif" w:hAnsi="Times New Roman;serif"/>
          <w:b w:val="false"/>
          <w:sz w:val="20"/>
        </w:rPr>
        <w:t>. Includes our high-performance power supply units, or PSUs, cooling solutions, computer cases, DRAM modules, as well as high-end prebuilt and custom-built gaming PCs and laptops, and gaming monitors, among others.</w:t>
      </w:r>
    </w:p>
    <w:p>
      <w:pPr>
        <w:pStyle w:val="TextBody"/>
        <w:spacing w:before="120" w:after="0"/>
        <w:jc w:val="left"/>
        <w:rPr>
          <w:rFonts w:ascii="Times New Roman" w:hAnsi="Times New Roman"/>
          <w:sz w:val="20"/>
        </w:rPr>
      </w:pPr>
      <w:r>
        <w:rPr>
          <w:rFonts w:ascii="Times New Roman;serif" w:hAnsi="Times New Roman;serif"/>
          <w:b w:val="false"/>
          <w:sz w:val="20"/>
        </w:rPr>
        <w:t>The segments are defined as those operations our chief operating decision maker (“CODM”)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table below summarizes the financial information for each reportable segment (in thousands):</w:t>
      </w:r>
    </w:p>
    <w:tbl>
      <w:tblPr>
        <w:tblW w:w="5709" w:type="dxa"/>
        <w:jc w:val="left"/>
        <w:tblInd w:w="0" w:type="dxa"/>
        <w:tblCellMar>
          <w:top w:w="28" w:type="dxa"/>
          <w:left w:w="28" w:type="dxa"/>
          <w:bottom w:w="28" w:type="dxa"/>
          <w:right w:w="28" w:type="dxa"/>
        </w:tblCellMar>
      </w:tblPr>
      <w:tblGrid>
        <w:gridCol w:w="2896"/>
        <w:gridCol w:w="146"/>
        <w:gridCol w:w="211"/>
        <w:gridCol w:w="781"/>
        <w:gridCol w:w="146"/>
        <w:gridCol w:w="146"/>
        <w:gridCol w:w="211"/>
        <w:gridCol w:w="781"/>
        <w:gridCol w:w="3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Net revenue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Gamer and Creator Peripherals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134,148</w:t>
            </w:r>
          </w:p>
        </w:tc>
        <w:tc>
          <w:tcPr>
            <w:tcW w:w="3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Gaming Components and Systems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246,543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353,964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Gross Profit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Gamer and Creator Peripherals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43,057</w:t>
            </w:r>
          </w:p>
        </w:tc>
        <w:tc>
          <w:tcPr>
            <w:tcW w:w="3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Gaming Components and Systems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47,699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The CODM manages assets on a total company basis, not by operating segments; therefore, asset information and capital expenditures by operating segments are not presented.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Geographic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net revenue by geographic region based on the location of the customer (in thousands):</w:t>
      </w:r>
    </w:p>
    <w:tbl>
      <w:tblPr>
        <w:tblW w:w="4899" w:type="dxa"/>
        <w:jc w:val="left"/>
        <w:tblInd w:w="0" w:type="dxa"/>
        <w:tblCellMar>
          <w:top w:w="28" w:type="dxa"/>
          <w:left w:w="28" w:type="dxa"/>
          <w:bottom w:w="28" w:type="dxa"/>
          <w:right w:w="28" w:type="dxa"/>
        </w:tblCellMar>
      </w:tblPr>
      <w:tblGrid>
        <w:gridCol w:w="2086"/>
        <w:gridCol w:w="146"/>
        <w:gridCol w:w="211"/>
        <w:gridCol w:w="781"/>
        <w:gridCol w:w="146"/>
        <w:gridCol w:w="146"/>
        <w:gridCol w:w="211"/>
        <w:gridCol w:w="781"/>
        <w:gridCol w:w="39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Net revenue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185,898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192,824</w:t>
            </w:r>
          </w:p>
        </w:tc>
        <w:tc>
          <w:tcPr>
            <w:tcW w:w="3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 and Middle East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122,198</w:t>
            </w:r>
          </w:p>
        </w:tc>
        <w:tc>
          <w:tcPr>
            <w:tcW w:w="3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65,669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0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353,964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Revenues from sales to customers in the United States represented 46.2%</w:t>
      </w:r>
      <w:r>
        <w:rPr>
          <w:rFonts w:ascii="Times New Roman" w:hAnsi="Times New Roman"/>
          <w:sz w:val="20"/>
        </w:rPr>
        <w:t xml:space="preserve"> </w:t>
      </w:r>
      <w:r>
        <w:rPr>
          <w:rFonts w:ascii="Times New Roman;serif" w:hAnsi="Times New Roman;serif"/>
          <w:b w:val="false"/>
          <w:sz w:val="20"/>
        </w:rPr>
        <w:t>and 43.6% for the three months ended March 31, 2023 and 2022, respectively. No</w:t>
      </w:r>
      <w:r>
        <w:rPr>
          <w:rFonts w:ascii="Times New Roman" w:hAnsi="Times New Roman"/>
          <w:sz w:val="20"/>
        </w:rPr>
        <w:t xml:space="preserve"> </w:t>
      </w:r>
      <w:r>
        <w:rPr>
          <w:rFonts w:ascii="Times New Roman;serif" w:hAnsi="Times New Roman;serif"/>
          <w:b w:val="false"/>
          <w:sz w:val="20"/>
        </w:rPr>
        <w:t>other countries besides the United States represented 10% or more of total net revenue for each of the periods presented.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One customer represented at least 10% of total net revenue for the three months ended March 31, 2023 and 2022, respectively.</w:t>
      </w:r>
    </w:p>
    <w:p>
      <w:pPr>
        <w:pStyle w:val="TextBody"/>
        <w:spacing w:before="240" w:after="0"/>
        <w:jc w:val="left"/>
        <w:rPr>
          <w:rFonts w:ascii="Times New Roman;serif" w:hAnsi="Times New Roman;serif"/>
          <w:b/>
          <w:sz w:val="20"/>
        </w:rPr>
      </w:pPr>
      <w:r>
        <w:rPr>
          <w:rFonts w:ascii="Times New Roman;serif" w:hAnsi="Times New Roman;serif"/>
          <w:b/>
          <w:sz w:val="20"/>
        </w:rPr>
        <w:t>15. Redeemable Noncontrolling Interest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The exercise price of the put option is based on multiples of iDisplay’s historical TTM EBITDA less any debt. The put option makes this portion of the noncontrolling interest redeemable and therefore, the RNCI is classified as temporary equity on our consolidated balance sheets and carried at the greater of the initial carrying amount, increased or decreased, for the RNCI share of comprehensive income (loss), contributions and distributions, or the redemption value. The change in redemption value is recognized through retained earnings.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the changes in RNCI for the periods presented (in thousands):</w:t>
      </w:r>
    </w:p>
    <w:tbl>
      <w:tblPr>
        <w:tblW w:w="7509" w:type="dxa"/>
        <w:jc w:val="left"/>
        <w:tblInd w:w="0" w:type="dxa"/>
        <w:tblCellMar>
          <w:top w:w="28" w:type="dxa"/>
          <w:left w:w="28" w:type="dxa"/>
          <w:bottom w:w="28" w:type="dxa"/>
          <w:right w:w="28" w:type="dxa"/>
        </w:tblCellMar>
      </w:tblPr>
      <w:tblGrid>
        <w:gridCol w:w="4966"/>
        <w:gridCol w:w="146"/>
        <w:gridCol w:w="211"/>
        <w:gridCol w:w="676"/>
        <w:gridCol w:w="166"/>
        <w:gridCol w:w="146"/>
        <w:gridCol w:w="211"/>
        <w:gridCol w:w="676"/>
        <w:gridCol w:w="311"/>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311" w:type="dxa"/>
            <w:tcBorders/>
            <w:shd w:fill="auto" w:val="cle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49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Initial carrying amount estimated at iDisplay's Closing Date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17,522</w:t>
            </w:r>
          </w:p>
        </w:tc>
        <w:tc>
          <w:tcPr>
            <w:tcW w:w="311" w:type="dxa"/>
            <w:tcBorders/>
            <w:shd w:fill="auto" w:val="clear"/>
            <w:vAlign w:val="center"/>
          </w:tcPr>
          <w:p>
            <w:pPr>
              <w:pStyle w:val="TableContents"/>
              <w:spacing w:before="0" w:after="0"/>
              <w:ind w:left="0" w:right="0" w:firstLine="100"/>
              <w:jc w:val="left"/>
              <w:rPr/>
            </w:pPr>
            <w:r>
              <w:rPr/>
              <w:t> </w:t>
            </w:r>
          </w:p>
        </w:tc>
      </w:tr>
      <w:tr>
        <w:trPr/>
        <w:tc>
          <w:tcPr>
            <w:tcW w:w="49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Share of 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Share of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 xml:space="preserve">Change in redemption value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19,424</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40"/>
        <w:jc w:val="left"/>
        <w:rPr>
          <w:rFonts w:ascii="Times New Roman" w:hAnsi="Times New Roman"/>
          <w:b w:val="false"/>
          <w:sz w:val="20"/>
        </w:rPr>
      </w:pPr>
      <w:r>
        <w:rPr>
          <w:rFonts w:ascii="Times New Roman" w:hAnsi="Times New Roman"/>
          <w:b w:val="false"/>
          <w:sz w:val="20"/>
        </w:rPr>
        <w:t>(1)</w:t>
      </w:r>
    </w:p>
    <w:p>
      <w:pPr>
        <w:pStyle w:val="TextBody"/>
        <w:spacing w:before="200" w:after="240"/>
        <w:jc w:val="left"/>
        <w:rPr>
          <w:rFonts w:ascii="Times New Roman;serif" w:hAnsi="Times New Roman;serif"/>
          <w:sz w:val="20"/>
        </w:rPr>
      </w:pPr>
      <w:r>
        <w:rPr>
          <w:rFonts w:ascii="Times New Roman;serif" w:hAnsi="Times New Roman;serif"/>
          <w:b w:val="false"/>
          <w:sz w:val="20"/>
        </w:rPr>
        <w:t>These amounts represent a $1.0</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decrease and $2.3</w:t>
      </w:r>
      <w:r>
        <w:rPr>
          <w:rFonts w:ascii="Times New Roman;serif" w:hAnsi="Times New Roman;serif"/>
          <w:sz w:val="20"/>
        </w:rPr>
        <w:t xml:space="preserve"> </w:t>
      </w:r>
      <w:r>
        <w:rPr>
          <w:rFonts w:ascii="Times New Roman;serif" w:hAnsi="Times New Roman;serif"/>
          <w:b w:val="false"/>
          <w:sz w:val="20"/>
        </w:rPr>
        <w:t>million increase in redemption value over the carrying value for the three months ended March 31, 2023 and 2022 respectively. These amounts were recorded as an offset to retained earnings impacting the net loss used in the calculation of net loss per share attributable for these periods.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240" w:after="0"/>
        <w:jc w:val="center"/>
        <w:rPr>
          <w:rFonts w:ascii="Times New Roman;serif" w:hAnsi="Times New Roman;serif"/>
          <w:b/>
          <w:sz w:val="20"/>
        </w:rPr>
      </w:pPr>
      <w:r>
        <w:rPr>
          <w:rFonts w:ascii="Times New Roman;serif" w:hAnsi="Times New Roman;serif"/>
          <w:b/>
          <w:sz w:val="20"/>
        </w:rPr>
        <w:t>MANAGEMENT’S DISCUSSION AND ANALYSIS OF FINANCIAL CONDITION</w:t>
      </w:r>
    </w:p>
    <w:p>
      <w:pPr>
        <w:pStyle w:val="TextBody"/>
        <w:spacing w:before="0" w:after="0"/>
        <w:jc w:val="center"/>
        <w:rPr>
          <w:rFonts w:ascii="Times New Roman;serif" w:hAnsi="Times New Roman;serif"/>
          <w:b/>
          <w:sz w:val="20"/>
        </w:rPr>
      </w:pPr>
      <w:r>
        <w:rPr>
          <w:rFonts w:ascii="Times New Roman;serif" w:hAnsi="Times New Roman;serif"/>
          <w:b/>
          <w:sz w:val="20"/>
        </w:rPr>
        <w:t>AND RESULTS OF OPERATIONS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2022, as filed with the United States Securities and Exchange Commission (“SEC”) on February 27, 2023.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2022.</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We are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Our solution is the most complete suite of gear among our major competitors and addresses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stream deck marketplace, customer care and extended warranty into our product offerings.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group our products into two categories (operating segments):</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 xml:space="preserve">Gamer and creator peripherals. </w:t>
      </w:r>
      <w:r>
        <w:rPr>
          <w:rFonts w:ascii="Times New Roman;serif" w:hAnsi="Times New Roman;serif"/>
          <w:b w:val="false"/>
          <w:sz w:val="20"/>
        </w:rPr>
        <w:t>Includes our high-performance gaming keyboards, mice, headsets, controllers, and streaming gear, which includes capture cards, Stream Decks, USB microphones, our Facecam streaming camera, studio accessories, and EpocCam software, among others.</w:t>
      </w:r>
    </w:p>
    <w:p>
      <w:pPr>
        <w:pStyle w:val="TextBody"/>
        <w:spacing w:before="120" w:after="0"/>
        <w:jc w:val="left"/>
        <w:rPr/>
      </w:pPr>
      <w:r>
        <w:rPr/>
        <w:t>•</w:t>
      </w:r>
    </w:p>
    <w:p>
      <w:pPr>
        <w:pStyle w:val="TextBody"/>
        <w:spacing w:before="120" w:after="283"/>
        <w:jc w:val="left"/>
        <w:rPr/>
      </w:pPr>
      <w:r>
        <w:rPr>
          <w:rFonts w:ascii="Times New Roman;serif" w:hAnsi="Times New Roman;serif"/>
          <w:b/>
          <w:i/>
          <w:sz w:val="20"/>
        </w:rPr>
        <w:t xml:space="preserve">Gaming components and systems. </w:t>
      </w:r>
      <w:r>
        <w:rPr>
          <w:rFonts w:ascii="Times New Roman;serif" w:hAnsi="Times New Roman;serif"/>
          <w:b w:val="false"/>
          <w:sz w:val="20"/>
        </w:rPr>
        <w:t>Includes our high-performance power supply units, or PSUs, cooling solutions, computer cases, and DRAM modules, as well as high-end prebuilt and custom-built gaming PCs and laptops, and gaming monitors, among others.</w:t>
      </w:r>
    </w:p>
    <w:p>
      <w:pPr>
        <w:pStyle w:val="TextBody"/>
        <w:spacing w:before="120" w:after="0"/>
        <w:jc w:val="left"/>
        <w:rPr>
          <w:rFonts w:ascii="Times New Roman" w:hAnsi="Times New Roman"/>
          <w:sz w:val="20"/>
        </w:rPr>
      </w:pPr>
      <w:r>
        <w:rPr>
          <w:rFonts w:ascii="Times New Roman;serif" w:hAnsi="Times New Roman;serif"/>
          <w:b w:val="false"/>
          <w:sz w:val="20"/>
        </w:rPr>
        <w:t>We are committed to continuing to grow in our current markets as well as new markets through the development of innovative technologies and by entering into new categories through organic growth or acquisition. In 2022 and 2021, we entered into four new markets, namely the microphones and cameras markets for content creators, the gaming monitors market and prebuilt gaming laptops market for both gamers and content creators. We continue to expand our product portfolio, launching 125 new products in the year of 2022. During the three months ended March 31, 2023, we started to ship various new innovative products including our new FLEX OLED bendable monitor, engineered in partnership with LG, and we expanded our Stream Deck product family, which further enhances the speed and workflows in streaming and content creation. In addition, with lower priced GPUs coming to market and new game titles being released this year, we believe that the gaming market will continue to grow.</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Summary of Financial Results</w:t>
      </w:r>
    </w:p>
    <w:p>
      <w:pPr>
        <w:pStyle w:val="TextBody"/>
        <w:spacing w:before="120" w:after="0"/>
        <w:jc w:val="left"/>
        <w:rPr>
          <w:rFonts w:ascii="Times New Roman" w:hAnsi="Times New Roman"/>
          <w:sz w:val="20"/>
        </w:rPr>
      </w:pPr>
      <w:r>
        <w:rPr>
          <w:rFonts w:ascii="Times New Roman;serif" w:hAnsi="Times New Roman;serif"/>
          <w:b w:val="false"/>
          <w:sz w:val="20"/>
        </w:rPr>
        <w:t>Our net revenue for the three months ended March 31, 2023 decreased by $26.7 million or 7.0%, as compared to the same period last year. The decrease in net revenue for the three-month period was driven by decreased revenue in our gamer and peripherals segment, offset partially by increased revenue in our gaming components and systems segment. Our gross margin increased from 23.8% to 24.1% for the three months ended March 31, 2023, as compared to the same period last year.</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had cash and restricted cash, in the aggregate of $182.1 million and the principal balance outstanding of the Term Loan was $230.0 million. Cash provided by (used in) operations was $41.8 million and $(6.1) million in the three months ended March 31, 2023 and 2022,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Key Factors Affecting Our Business</w:t>
      </w:r>
    </w:p>
    <w:p>
      <w:pPr>
        <w:pStyle w:val="TextBody"/>
        <w:spacing w:before="120" w:after="0"/>
        <w:jc w:val="left"/>
        <w:rPr>
          <w:rFonts w:ascii="Times New Roman" w:hAnsi="Times New Roman"/>
          <w:sz w:val="20"/>
        </w:rPr>
      </w:pPr>
      <w:r>
        <w:rPr>
          <w:rFonts w:ascii="Times New Roman;serif" w:hAnsi="Times New Roman;serif"/>
          <w:b w:val="false"/>
          <w:sz w:val="20"/>
        </w:rPr>
        <w:t>Our results of operations and financial condition are affected by numerous factors, including those discussed under the heading “Risk Factors” in Part I, Item 1A of our Annual Report on Form 10-K for the year ended December 31, 2022 and those described below.</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Impact of Macroeconomic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and financial performance are significantly impacted by worldwide economic conditions. Global macroeconomic challenges, such as the effects of the ongoing war between Russia and Ukraine, the COVID-19 pandemic, supply chain constraints, market uncertainty, and the risk of a recession, volatility in exchange rates, inflationary trends and evolving dynamics in the global trade environment, have impacted our business and financial performance. Throughout 2022, these conditions adversely impacted our net revenue and resulted in higher cost of sales due to increased shipping and production costs. Such conditions also resulted in excess inventory in our distribution channels that led to us recognizing higher inventory impairment related charges in 2022 in order to rationalize our inventory levels to align with the reduced revenue in the period. These market dynamics, which we expect will continue in the short-term, have created new and different demand dynamics in our markets and have had significant impacts on our financial results.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of the impact of macroeconomic conditions, geopolitical tensions and the COVID-19 pandemic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pStyle w:val="TextBody"/>
        <w:spacing w:before="240" w:after="0"/>
        <w:jc w:val="left"/>
        <w:rPr>
          <w:rFonts w:ascii="Times New Roman;serif" w:hAnsi="Times New Roman;serif"/>
          <w:b/>
          <w:i/>
          <w:sz w:val="20"/>
        </w:rPr>
      </w:pPr>
      <w:r>
        <w:rPr>
          <w:rFonts w:ascii="Times New Roman;serif" w:hAnsi="Times New Roman;serif"/>
          <w:b/>
          <w:i/>
          <w:sz w:val="20"/>
        </w:rPr>
        <w:t>Impact of fluctuations in Currency Exchange Rate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exposed to fluctuations in foreign currency exchange rates. Some of our international sales are denominated in foreign currencies and any unfavorable movement in the exchange rate between U.S. dollars and the currencies in which we conduct sales in foreign countries may negatively impact our revenue. For example, our net revenue for the year ended December 31, 2022 was in part negatively impacted by the strengthening of the U.S. dollar against the Euro and the British Pound. In addition, we generally pay our employees located outside the United States in the local currency, with a significant portion of those payments being made in Taiwan dollars and Euros. As a result of our foreign sales and operations, we have other expenses, assets and liabilities that are denominated in foreign currencies, in particular the Chinese Yuan, Euro and British Pound.</w:t>
      </w:r>
    </w:p>
    <w:p>
      <w:pPr>
        <w:pStyle w:val="TextBody"/>
        <w:spacing w:before="240" w:after="0"/>
        <w:jc w:val="left"/>
        <w:rPr>
          <w:rFonts w:ascii="Times New Roman;serif" w:hAnsi="Times New Roman;serif"/>
          <w:b/>
          <w:i/>
          <w:sz w:val="20"/>
        </w:rPr>
      </w:pPr>
      <w:r>
        <w:rPr>
          <w:rFonts w:ascii="Times New Roman;serif" w:hAnsi="Times New Roman;serif"/>
          <w:b/>
          <w:i/>
          <w:sz w:val="20"/>
        </w:rPr>
        <w:t>Impact of Industry Trends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results of operations and financial condition are impacted by industry trends in the gaming market, including:</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 xml:space="preserve">Increasing gaming engagement. </w:t>
      </w:r>
      <w:r>
        <w:rPr>
          <w:rFonts w:ascii="Times New Roman;serif" w:hAnsi="Times New Roman;serif"/>
          <w:b w:val="false"/>
          <w:sz w:val="20"/>
        </w:rPr>
        <w:t>We believe that gaming’s increasing time share of global entertainment consumption will drive continued</w:t>
      </w:r>
      <w:r>
        <w:rPr/>
        <w:t xml:space="preserve"> </w:t>
      </w:r>
      <w:r>
        <w:rPr>
          <w:rFonts w:ascii="Times New Roman;serif" w:hAnsi="Times New Roman;serif"/>
          <w:b w:val="false"/>
          <w:sz w:val="20"/>
        </w:rPr>
        <w:t>growth in spending on both games and gaming gear. Gaming continues to become increasingly social, as streaming viewership becomes more widely adopted with increasing numbers of content creators. This trend, which has accelerated in the past few years experienced a setback in 2022 primarily due to challenging macroeconomic conditions and the ongoing war between Russia and Ukraine. Nonetheless, we have seen some recovery starting from the fourth quarter of 2022. Accordingly, we believe that the acceleration trend will resume in the remainder of 2023 and that we are well-positioned to serve the streaming market with best-in-class tools for content creation.</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Introduction of new high-performance computing hardware and sophisticated games</w:t>
      </w:r>
      <w:r>
        <w:rPr>
          <w:rFonts w:ascii="Times New Roman;serif" w:hAnsi="Times New Roman;serif"/>
          <w:b w:val="false"/>
          <w:sz w:val="20"/>
        </w:rPr>
        <w:t>. We believe that the introduction of more powerful</w:t>
      </w:r>
      <w:r>
        <w:rPr/>
        <w:t xml:space="preserve"> </w:t>
      </w:r>
      <w:r>
        <w:rPr>
          <w:rFonts w:ascii="Times New Roman;serif" w:hAnsi="Times New Roman;serif"/>
          <w:b w:val="false"/>
          <w:sz w:val="20"/>
        </w:rPr>
        <w:t xml:space="preserve">CPUs and GPUs that place increased demands on other system components, such as memory, power supply or cooling, has a significant effect on increasing the demand for our gear. The shortage of reasonably priced GPUs since the second half of 2021 had a negative impact on our gaming component revenue, but starting from the third quarter of 2022, we saw the availability of reasonably priced GPUs began to normalize which brought along some positive effects to the self-built PC market.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Impact of Product Mix</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pStyle w:val="TextBody"/>
        <w:spacing w:before="240" w:after="0"/>
        <w:jc w:val="left"/>
        <w:rPr>
          <w:rFonts w:ascii="Times New Roman;serif" w:hAnsi="Times New Roman;serif"/>
          <w:b/>
          <w:i/>
          <w:sz w:val="20"/>
        </w:rPr>
      </w:pPr>
      <w:r>
        <w:rPr>
          <w:rFonts w:ascii="Times New Roman;serif" w:hAnsi="Times New Roman;serif"/>
          <w:b/>
          <w:i/>
          <w:sz w:val="20"/>
        </w:rPr>
        <w:t>Impact of Customer Concentration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25.8% and 30.4% of our net revenue for the three months ended March 31, 2023 and 2022, respectively, and sales to our ten largest customers accounting for approximately 51.5% and 52.5% of our net revenue for the three months ended March 31, 2023 and 2022, respectively. Our customers, including Amazon,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pStyle w:val="TextBody"/>
        <w:spacing w:before="240" w:after="0"/>
        <w:jc w:val="left"/>
        <w:rPr>
          <w:rFonts w:ascii="Times New Roman;serif" w:hAnsi="Times New Roman;serif"/>
          <w:b/>
          <w:i/>
          <w:sz w:val="20"/>
        </w:rPr>
      </w:pPr>
      <w:r>
        <w:rPr>
          <w:rFonts w:ascii="Times New Roman;serif" w:hAnsi="Times New Roman;serif"/>
          <w:b/>
          <w:i/>
          <w:sz w:val="20"/>
        </w:rPr>
        <w:t>Impact of New Product Introductions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Gamers demand new technology and product features, and we expect our ability to accurately anticipate and meet these demands will be one of the main drivers for any future sales growth and market share expansion. While we intend to continue to develop and release new products, there can be no assurance that our new product introductions will have a favorable impact on our operating results or that customers will choose our new gear over those of our competitors.</w:t>
      </w:r>
    </w:p>
    <w:p>
      <w:pPr>
        <w:pStyle w:val="TextBody"/>
        <w:spacing w:before="240" w:after="0"/>
        <w:jc w:val="left"/>
        <w:rPr>
          <w:rFonts w:ascii="Times New Roman;serif" w:hAnsi="Times New Roman;serif"/>
          <w:b/>
          <w:i/>
          <w:sz w:val="20"/>
        </w:rPr>
      </w:pPr>
      <w:r>
        <w:rPr>
          <w:rFonts w:ascii="Times New Roman;serif" w:hAnsi="Times New Roman;serif"/>
          <w:b/>
          <w:i/>
          <w:sz w:val="20"/>
        </w:rPr>
        <w:t>Impact of Seasonal Sales Trends</w:t>
      </w:r>
    </w:p>
    <w:p>
      <w:pPr>
        <w:pStyle w:val="TextBody"/>
        <w:spacing w:before="120" w:after="0"/>
        <w:jc w:val="left"/>
        <w:rPr>
          <w:rFonts w:ascii="Times New Roman" w:hAnsi="Times New Roman"/>
          <w:sz w:val="20"/>
        </w:rPr>
      </w:pPr>
      <w:r>
        <w:rPr>
          <w:rFonts w:ascii="Times New Roman;serif" w:hAnsi="Times New Roman;serif"/>
          <w:b w:val="false"/>
          <w:sz w:val="20"/>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Impact of Fluctuations in Integrated Circuits Pricing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pStyle w:val="TextBody"/>
        <w:spacing w:before="240" w:after="0"/>
        <w:jc w:val="left"/>
        <w:rPr>
          <w:rFonts w:ascii="Times New Roman;serif" w:hAnsi="Times New Roman;serif"/>
          <w:b/>
          <w:sz w:val="20"/>
        </w:rPr>
      </w:pPr>
      <w:r>
        <w:rPr>
          <w:rFonts w:ascii="Times New Roman;serif" w:hAnsi="Times New Roman;serif"/>
          <w:b/>
          <w:sz w:val="20"/>
        </w:rPr>
        <w:t>Components of our Operating Results</w:t>
      </w:r>
    </w:p>
    <w:p>
      <w:pPr>
        <w:pStyle w:val="TextBody"/>
        <w:spacing w:before="120" w:after="0"/>
        <w:jc w:val="left"/>
        <w:rPr>
          <w:rFonts w:ascii="Times New Roman;serif" w:hAnsi="Times New Roman;serif"/>
          <w:b/>
          <w:i/>
          <w:sz w:val="20"/>
        </w:rPr>
      </w:pPr>
      <w:r>
        <w:rPr>
          <w:rFonts w:ascii="Times New Roman;serif" w:hAnsi="Times New Roman;serif"/>
          <w:b/>
          <w:i/>
          <w:sz w:val="20"/>
        </w:rPr>
        <w:t>Net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pStyle w:val="TextBody"/>
        <w:spacing w:before="240" w:after="0"/>
        <w:jc w:val="left"/>
        <w:rPr>
          <w:rFonts w:ascii="Times New Roman;serif" w:hAnsi="Times New Roman;serif"/>
          <w:b/>
          <w:i/>
          <w:sz w:val="20"/>
        </w:rPr>
      </w:pPr>
      <w:r>
        <w:rPr>
          <w:rFonts w:ascii="Times New Roman;serif" w:hAnsi="Times New Roman;serif"/>
          <w:b/>
          <w:i/>
          <w:sz w:val="20"/>
        </w:rPr>
        <w:t>Cost of Revenue</w:t>
      </w:r>
    </w:p>
    <w:p>
      <w:pPr>
        <w:pStyle w:val="TextBody"/>
        <w:spacing w:before="120" w:after="0"/>
        <w:jc w:val="left"/>
        <w:rPr>
          <w:rFonts w:ascii="Times New Roman" w:hAnsi="Times New Roman"/>
          <w:sz w:val="20"/>
        </w:rPr>
      </w:pPr>
      <w:r>
        <w:rPr>
          <w:rFonts w:ascii="Times New Roman;serif" w:hAnsi="Times New Roman;serif"/>
          <w:b w:val="false"/>
          <w:sz w:val="20"/>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and certain allocated costs related to facilities and information technology, or IT, and personnel-related expenses and other operating expenses related to supply chain logistics.</w:t>
      </w:r>
    </w:p>
    <w:p>
      <w:pPr>
        <w:pStyle w:val="TextBody"/>
        <w:spacing w:before="240" w:after="0"/>
        <w:jc w:val="left"/>
        <w:rPr>
          <w:rFonts w:ascii="Times New Roman;serif" w:hAnsi="Times New Roman;serif"/>
          <w:b/>
          <w:i/>
          <w:sz w:val="20"/>
        </w:rPr>
      </w:pPr>
      <w:r>
        <w:rPr>
          <w:rFonts w:ascii="Times New Roman;serif" w:hAnsi="Times New Roman;serif"/>
          <w:b/>
          <w:i/>
          <w:sz w:val="20"/>
        </w:rPr>
        <w:t>Operating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expenses consist of sales, general and administrative expenses and product development expenses.</w:t>
      </w:r>
    </w:p>
    <w:p>
      <w:pPr>
        <w:pStyle w:val="TextBody"/>
        <w:spacing w:before="120" w:after="0"/>
        <w:jc w:val="left"/>
        <w:rPr>
          <w:rFonts w:ascii="Times New Roman" w:hAnsi="Times New Roman"/>
          <w:sz w:val="20"/>
        </w:rPr>
      </w:pPr>
      <w:r>
        <w:rPr>
          <w:rFonts w:ascii="Times New Roman;serif" w:hAnsi="Times New Roman;serif"/>
          <w:b w:val="false"/>
          <w:i/>
          <w:sz w:val="20"/>
        </w:rPr>
        <w:t>Sales,</w:t>
      </w:r>
      <w:r>
        <w:rPr>
          <w:rFonts w:ascii="Times New Roman" w:hAnsi="Times New Roman"/>
          <w:sz w:val="20"/>
        </w:rPr>
        <w:t xml:space="preserve"> </w:t>
      </w:r>
      <w:r>
        <w:rPr>
          <w:rFonts w:ascii="Times New Roman;serif" w:hAnsi="Times New Roman;serif"/>
          <w:b w:val="false"/>
          <w:i/>
          <w:sz w:val="20"/>
        </w:rPr>
        <w:t>general</w:t>
      </w:r>
      <w:r>
        <w:rPr>
          <w:rFonts w:ascii="Times New Roman" w:hAnsi="Times New Roman"/>
          <w:sz w:val="20"/>
        </w:rPr>
        <w:t xml:space="preserve"> </w:t>
      </w:r>
      <w:r>
        <w:rPr>
          <w:rFonts w:ascii="Times New Roman;serif" w:hAnsi="Times New Roman;serif"/>
          <w:b w:val="false"/>
          <w:i/>
          <w:sz w:val="20"/>
        </w:rPr>
        <w:t>and</w:t>
      </w:r>
      <w:r>
        <w:rPr>
          <w:rFonts w:ascii="Times New Roman" w:hAnsi="Times New Roman"/>
          <w:sz w:val="20"/>
        </w:rPr>
        <w:t xml:space="preserve"> </w:t>
      </w:r>
      <w:r>
        <w:rPr>
          <w:rFonts w:ascii="Times New Roman;serif" w:hAnsi="Times New Roman;serif"/>
          <w:b w:val="false"/>
          <w:i/>
          <w:sz w:val="20"/>
        </w:rPr>
        <w:t>administrative.</w:t>
      </w:r>
      <w:r>
        <w:rPr>
          <w:rFonts w:ascii="Times New Roman" w:hAnsi="Times New Roman"/>
          <w:sz w:val="20"/>
        </w:rPr>
        <w:t xml:space="preserve"> </w:t>
      </w:r>
      <w:r>
        <w:rPr>
          <w:rFonts w:ascii="Times New Roman;serif" w:hAnsi="Times New Roman;serif"/>
          <w:b w:val="false"/>
          <w:sz w:val="20"/>
        </w:rPr>
        <w:t>Sales, general and administrative, or SG&amp;A, expenses represent the largest component of our operating expenses 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pStyle w:val="TextBody"/>
        <w:spacing w:before="120" w:after="0"/>
        <w:jc w:val="left"/>
        <w:rPr>
          <w:rFonts w:ascii="Times New Roman" w:hAnsi="Times New Roman"/>
          <w:sz w:val="20"/>
        </w:rPr>
      </w:pPr>
      <w:r>
        <w:rPr>
          <w:rFonts w:ascii="Times New Roman;serif" w:hAnsi="Times New Roman;serif"/>
          <w:b w:val="false"/>
          <w:i/>
          <w:sz w:val="20"/>
        </w:rPr>
        <w:t>Product development</w:t>
      </w:r>
      <w:r>
        <w:rPr>
          <w:rFonts w:ascii="Times New Roman;serif" w:hAnsi="Times New Roman;serif"/>
          <w:b w:val="false"/>
          <w:sz w:val="20"/>
        </w:rPr>
        <w:t>. Product development costs are generally expensed as incurred.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pStyle w:val="TextBody"/>
        <w:spacing w:before="240" w:after="0"/>
        <w:jc w:val="left"/>
        <w:rPr>
          <w:rFonts w:ascii="Times New Roman;serif" w:hAnsi="Times New Roman;serif"/>
          <w:b/>
          <w:i/>
          <w:sz w:val="20"/>
        </w:rPr>
      </w:pPr>
      <w:r>
        <w:rPr>
          <w:rFonts w:ascii="Times New Roman;serif" w:hAnsi="Times New Roman;serif"/>
          <w:b/>
          <w:i/>
          <w:sz w:val="20"/>
        </w:rPr>
        <w:t>Interest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net consists of interest associated with our debt financing arrangements, including our revolving line of credit, and amortization of debt issuance costs and debt discounts. Interest income earned on our cash and cash equivalents balance is included within interest expense, net as an offset to interest expense.</w:t>
      </w:r>
    </w:p>
    <w:p>
      <w:pPr>
        <w:pStyle w:val="TextBody"/>
        <w:spacing w:before="240" w:after="0"/>
        <w:jc w:val="left"/>
        <w:rPr>
          <w:rFonts w:ascii="Times New Roman;serif" w:hAnsi="Times New Roman;serif"/>
          <w:b/>
          <w:i/>
          <w:sz w:val="20"/>
        </w:rPr>
      </w:pPr>
      <w:r>
        <w:rPr>
          <w:rFonts w:ascii="Times New Roman;serif" w:hAnsi="Times New Roman;serif"/>
          <w:b/>
          <w:i/>
          <w:sz w:val="20"/>
        </w:rPr>
        <w:t>Other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expense, net consists primarily of our foreign currency exchange gains and losses relating to transactions and remeasurement of asset and liability balances denominated in foreign currencies, and net fair value gains and losses from our foreign currency forward contracts.</w:t>
      </w:r>
    </w:p>
    <w:p>
      <w:pPr>
        <w:pStyle w:val="TextBody"/>
        <w:spacing w:before="240" w:after="0"/>
        <w:jc w:val="left"/>
        <w:rPr>
          <w:rFonts w:ascii="Times New Roman;serif" w:hAnsi="Times New Roman;serif"/>
          <w:b/>
          <w:i/>
          <w:sz w:val="20"/>
        </w:rPr>
      </w:pPr>
      <w:r>
        <w:rPr>
          <w:rFonts w:ascii="Times New Roman;serif" w:hAnsi="Times New Roman;serif"/>
          <w:b/>
          <w:i/>
          <w:sz w:val="20"/>
        </w:rPr>
        <w:t>Income Tax Benefit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pStyle w:val="TextBody"/>
        <w:spacing w:before="120" w:after="0"/>
        <w:jc w:val="left"/>
        <w:rPr>
          <w:rFonts w:ascii="Times New Roman" w:hAnsi="Times New Roman"/>
          <w:sz w:val="20"/>
        </w:rPr>
      </w:pPr>
      <w:r>
        <w:rPr>
          <w:rFonts w:ascii="Times New Roman;serif" w:hAnsi="Times New Roman;serif"/>
          <w:b w:val="false"/>
          <w:sz w:val="20"/>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Net Income (Loss) Attributable to Noncontrolling Interest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income (loss) attributable to noncontrolling interest represents the share of the net income (loss) of iDisplay attributable to the 49% ownership interest of iDisplay we did not acquire.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tables set forth the components of our condensed consolidated statements of operations, in dollars (thousands) and as a percentage of total net revenue, for each of the periods presented.</w:t>
      </w:r>
    </w:p>
    <w:tbl>
      <w:tblPr>
        <w:tblW w:w="7869" w:type="dxa"/>
        <w:jc w:val="left"/>
        <w:tblInd w:w="0" w:type="dxa"/>
        <w:tblCellMar>
          <w:top w:w="28" w:type="dxa"/>
          <w:left w:w="28" w:type="dxa"/>
          <w:bottom w:w="28" w:type="dxa"/>
          <w:right w:w="28" w:type="dxa"/>
        </w:tblCellMar>
      </w:tblPr>
      <w:tblGrid>
        <w:gridCol w:w="5116"/>
        <w:gridCol w:w="146"/>
        <w:gridCol w:w="211"/>
        <w:gridCol w:w="781"/>
        <w:gridCol w:w="166"/>
        <w:gridCol w:w="146"/>
        <w:gridCol w:w="211"/>
        <w:gridCol w:w="781"/>
        <w:gridCol w:w="311"/>
      </w:tblGrid>
      <w:tr>
        <w:trPr/>
        <w:tc>
          <w:tcPr>
            <w:tcW w:w="5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511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1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353,964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380,691</w:t>
            </w:r>
          </w:p>
        </w:tc>
        <w:tc>
          <w:tcPr>
            <w:tcW w:w="31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268,560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289,935</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90,756</w:t>
            </w:r>
          </w:p>
        </w:tc>
        <w:tc>
          <w:tcPr>
            <w:tcW w:w="31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firstLine="100"/>
              <w:jc w:val="right"/>
              <w:rPr/>
            </w:pPr>
            <w:r>
              <w:rPr/>
              <w:t> </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76,131</w:t>
            </w:r>
          </w:p>
        </w:tc>
        <w:tc>
          <w:tcPr>
            <w:tcW w:w="311" w:type="dxa"/>
            <w:tcBorders/>
            <w:shd w:fill="auto" w:val="clear"/>
            <w:vAlign w:val="center"/>
          </w:tcPr>
          <w:p>
            <w:pPr>
              <w:pStyle w:val="TableContents"/>
              <w:spacing w:before="0" w:after="0"/>
              <w:ind w:left="0" w:right="0" w:firstLine="100"/>
              <w:jc w:val="left"/>
              <w:rPr/>
            </w:pPr>
            <w:r>
              <w:rPr/>
              <w:t> </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17,110</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84,367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93,241</w:t>
            </w:r>
          </w:p>
        </w:tc>
        <w:tc>
          <w:tcPr>
            <w:tcW w:w="31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firstLine="100"/>
              <w:jc w:val="right"/>
              <w:rPr/>
            </w:pPr>
            <w:r>
              <w:rPr/>
              <w:t> </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(1,279</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tbl>
      <w:tblPr>
        <w:tblW w:w="7549" w:type="dxa"/>
        <w:jc w:val="left"/>
        <w:tblInd w:w="0" w:type="dxa"/>
        <w:tblCellMar>
          <w:top w:w="28" w:type="dxa"/>
          <w:left w:w="28" w:type="dxa"/>
          <w:bottom w:w="28" w:type="dxa"/>
          <w:right w:w="28" w:type="dxa"/>
        </w:tblCellMar>
      </w:tblPr>
      <w:tblGrid>
        <w:gridCol w:w="5116"/>
        <w:gridCol w:w="146"/>
        <w:gridCol w:w="146"/>
        <w:gridCol w:w="571"/>
        <w:gridCol w:w="331"/>
        <w:gridCol w:w="146"/>
        <w:gridCol w:w="146"/>
        <w:gridCol w:w="571"/>
        <w:gridCol w:w="376"/>
      </w:tblGrid>
      <w:tr>
        <w:trPr/>
        <w:tc>
          <w:tcPr>
            <w:tcW w:w="5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376"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firstLine="100"/>
              <w:jc w:val="right"/>
              <w:rPr/>
            </w:pPr>
            <w:r>
              <w:rPr/>
              <w:t> </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376" w:type="dxa"/>
            <w:tcBorders/>
            <w:shd w:fill="auto" w:val="clear"/>
            <w:vAlign w:val="center"/>
          </w:tcPr>
          <w:p>
            <w:pPr>
              <w:pStyle w:val="TableContents"/>
              <w:spacing w:before="0" w:after="0"/>
              <w:ind w:left="0" w:right="0" w:firstLine="100"/>
              <w:jc w:val="left"/>
              <w:rPr/>
            </w:pPr>
            <w:r>
              <w:rPr/>
              <w:t> </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firstLine="100"/>
              <w:jc w:val="right"/>
              <w:rPr/>
            </w:pPr>
            <w:r>
              <w:rPr/>
              <w:t> </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income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Corsair Gaming, Inc.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sz w:val="20"/>
        </w:rPr>
      </w:pPr>
      <w:r>
        <w:rPr>
          <w:rFonts w:ascii="Times New Roman;serif" w:hAnsi="Times New Roman;serif"/>
          <w:b/>
          <w:sz w:val="20"/>
        </w:rPr>
        <w:t>Components of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Net Revenue</w:t>
      </w:r>
    </w:p>
    <w:tbl>
      <w:tblPr>
        <w:tblW w:w="3709" w:type="dxa"/>
        <w:jc w:val="left"/>
        <w:tblInd w:w="0" w:type="dxa"/>
        <w:tblCellMar>
          <w:top w:w="28" w:type="dxa"/>
          <w:left w:w="28" w:type="dxa"/>
          <w:bottom w:w="28" w:type="dxa"/>
          <w:right w:w="28" w:type="dxa"/>
        </w:tblCellMar>
      </w:tblPr>
      <w:tblGrid>
        <w:gridCol w:w="1096"/>
        <w:gridCol w:w="146"/>
        <w:gridCol w:w="211"/>
        <w:gridCol w:w="781"/>
        <w:gridCol w:w="146"/>
        <w:gridCol w:w="146"/>
        <w:gridCol w:w="211"/>
        <w:gridCol w:w="781"/>
        <w:gridCol w:w="191"/>
      </w:tblGrid>
      <w:tr>
        <w:trPr/>
        <w:tc>
          <w:tcPr>
            <w:tcW w:w="1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353,964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380,691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Net revenue decreased by $26.7 million, or 7.0%, for the three months ended March 31, 2023 as compared to the same period last year. The decrease was due to a 33.7% decrease in sales for our gamer and creator peripherals segment and partially offset by a 7.5% increase in sales for our gaming components and systems segment.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Overall, the demand for most of our peripheral products was lower in the three months ended March 31, 2023 compared to same period last year primarily due to the challenging macroeconomic environment, including the adverse impacts from the war between Russia and Ukraine as well as inflationary trends. The decline in demand for our peripherals products was partially offset by an increase in demand for our component and system products, primarily driven by the self-built PC market expansion due to the increase in availability of reasonably priced GPUs and CPUs as well as the release of new game titles.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Gross Profit and Gross Margin</w:t>
      </w:r>
    </w:p>
    <w:tbl>
      <w:tblPr>
        <w:tblW w:w="4241" w:type="dxa"/>
        <w:jc w:val="left"/>
        <w:tblInd w:w="0" w:type="dxa"/>
        <w:tblCellMar>
          <w:top w:w="28" w:type="dxa"/>
          <w:left w:w="28" w:type="dxa"/>
          <w:bottom w:w="28" w:type="dxa"/>
          <w:right w:w="28" w:type="dxa"/>
        </w:tblCellMar>
      </w:tblPr>
      <w:tblGrid>
        <w:gridCol w:w="1186"/>
        <w:gridCol w:w="146"/>
        <w:gridCol w:w="250"/>
        <w:gridCol w:w="800"/>
        <w:gridCol w:w="321"/>
        <w:gridCol w:w="172"/>
        <w:gridCol w:w="250"/>
        <w:gridCol w:w="800"/>
        <w:gridCol w:w="316"/>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shd w:fill="auto" w:val="clear"/>
            <w:vAlign w:val="center"/>
          </w:tcPr>
          <w:p>
            <w:pPr>
              <w:pStyle w:val="TableContents"/>
              <w:spacing w:before="0" w:after="0"/>
              <w:ind w:left="0" w:right="0" w:hanging="0"/>
              <w:jc w:val="center"/>
              <w:rPr/>
            </w:pPr>
            <w:r>
              <w:rPr/>
              <w:t> </w:t>
            </w:r>
          </w:p>
        </w:tc>
        <w:tc>
          <w:tcPr>
            <w:tcW w:w="321" w:type="dxa"/>
            <w:tcBorders/>
            <w:shd w:fill="auto" w:val="cle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1050"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percentages)</w:t>
            </w:r>
          </w:p>
        </w:tc>
        <w:tc>
          <w:tcPr>
            <w:tcW w:w="316"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85,404</w:t>
            </w:r>
          </w:p>
        </w:tc>
        <w:tc>
          <w:tcPr>
            <w:tcW w:w="321"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90,756</w:t>
            </w:r>
          </w:p>
        </w:tc>
        <w:tc>
          <w:tcPr>
            <w:tcW w:w="316"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 w:hAnsi="Times New Roman"/>
          <w:sz w:val="20"/>
        </w:rPr>
      </w:pPr>
      <w:r>
        <w:rPr>
          <w:rFonts w:ascii="Times New Roman;serif" w:hAnsi="Times New Roman;serif"/>
          <w:b w:val="false"/>
          <w:sz w:val="20"/>
        </w:rPr>
        <w:t>Gross margin increased 0.3% for the three months ended March 31, 2023 as compared to the same period last year. The increase was primarily attributable to lower freight costs and tariffs as the elevated freight rates caused by the COVID-19 pandemic have normalized to close to pre-pandemic level.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our gross margin in the remainder of 2023 to benefit from further improvement in the supply chain environment.</w:t>
      </w:r>
    </w:p>
    <w:p>
      <w:pPr>
        <w:pStyle w:val="TextBody"/>
        <w:spacing w:before="240" w:after="0"/>
        <w:jc w:val="left"/>
        <w:rPr>
          <w:rFonts w:ascii="Times New Roman;serif" w:hAnsi="Times New Roman;serif"/>
          <w:b/>
          <w:i/>
          <w:sz w:val="20"/>
        </w:rPr>
      </w:pPr>
      <w:r>
        <w:rPr>
          <w:rFonts w:ascii="Times New Roman;serif" w:hAnsi="Times New Roman;serif"/>
          <w:b/>
          <w:i/>
          <w:sz w:val="20"/>
        </w:rPr>
        <w:t>Sales, General and Administrative (SG&amp;A)</w:t>
      </w:r>
    </w:p>
    <w:tbl>
      <w:tblPr>
        <w:tblW w:w="5194" w:type="dxa"/>
        <w:jc w:val="left"/>
        <w:tblInd w:w="0" w:type="dxa"/>
        <w:tblCellMar>
          <w:top w:w="28" w:type="dxa"/>
          <w:left w:w="28" w:type="dxa"/>
          <w:bottom w:w="28" w:type="dxa"/>
          <w:right w:w="28" w:type="dxa"/>
        </w:tblCellMar>
      </w:tblPr>
      <w:tblGrid>
        <w:gridCol w:w="2791"/>
        <w:gridCol w:w="146"/>
        <w:gridCol w:w="211"/>
        <w:gridCol w:w="676"/>
        <w:gridCol w:w="146"/>
        <w:gridCol w:w="146"/>
        <w:gridCol w:w="211"/>
        <w:gridCol w:w="676"/>
        <w:gridCol w:w="191"/>
      </w:tblGrid>
      <w:tr>
        <w:trPr/>
        <w:tc>
          <w:tcPr>
            <w:tcW w:w="2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76,131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SG&amp;A expenses decreased $8.6 million, or 11.3%, for the three months ended March 31, 2023 as compared to the same period last year. The majority of the decrease in SG&amp;A expenses was due to reduced freight rates and lower freight costs on lower revenues. The remaining decrease in SG&amp;A expenses was primarily due to lower marketing and advertising expenses, partially offset by higher bonus expenses and higher stock-based compensation expenses.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Product Development</w:t>
      </w:r>
    </w:p>
    <w:tbl>
      <w:tblPr>
        <w:tblW w:w="4264" w:type="dxa"/>
        <w:jc w:val="left"/>
        <w:tblInd w:w="0" w:type="dxa"/>
        <w:tblCellMar>
          <w:top w:w="28" w:type="dxa"/>
          <w:left w:w="28" w:type="dxa"/>
          <w:bottom w:w="28" w:type="dxa"/>
          <w:right w:w="28" w:type="dxa"/>
        </w:tblCellMar>
      </w:tblPr>
      <w:tblGrid>
        <w:gridCol w:w="1861"/>
        <w:gridCol w:w="146"/>
        <w:gridCol w:w="211"/>
        <w:gridCol w:w="676"/>
        <w:gridCol w:w="146"/>
        <w:gridCol w:w="146"/>
        <w:gridCol w:w="211"/>
        <w:gridCol w:w="676"/>
        <w:gridCol w:w="19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17,110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Product development expenses decreased $0.3 million, or 1.6%, for the three months ended March 31, 2023 as compared to the same period last year. The decrease was primarily due to lower personnel-related cost which was offset partially by higher consulting and contractor costs.</w:t>
      </w:r>
    </w:p>
    <w:p>
      <w:pPr>
        <w:pStyle w:val="TextBody"/>
        <w:spacing w:before="240" w:after="0"/>
        <w:jc w:val="left"/>
        <w:rPr>
          <w:rFonts w:ascii="Times New Roman;serif" w:hAnsi="Times New Roman;serif"/>
          <w:b/>
          <w:i/>
          <w:sz w:val="20"/>
        </w:rPr>
      </w:pPr>
      <w:r>
        <w:rPr>
          <w:rFonts w:ascii="Times New Roman;serif" w:hAnsi="Times New Roman;serif"/>
          <w:b/>
          <w:i/>
          <w:sz w:val="20"/>
        </w:rPr>
        <w:t>Interest Expense, Net and Other Expense, Net</w:t>
      </w:r>
    </w:p>
    <w:tbl>
      <w:tblPr>
        <w:tblW w:w="4124" w:type="dxa"/>
        <w:jc w:val="left"/>
        <w:tblInd w:w="0" w:type="dxa"/>
        <w:tblCellMar>
          <w:top w:w="28" w:type="dxa"/>
          <w:left w:w="28" w:type="dxa"/>
          <w:bottom w:w="28" w:type="dxa"/>
          <w:right w:w="28" w:type="dxa"/>
        </w:tblCellMar>
      </w:tblPr>
      <w:tblGrid>
        <w:gridCol w:w="1771"/>
        <w:gridCol w:w="146"/>
        <w:gridCol w:w="211"/>
        <w:gridCol w:w="631"/>
        <w:gridCol w:w="166"/>
        <w:gridCol w:w="146"/>
        <w:gridCol w:w="211"/>
        <w:gridCol w:w="631"/>
        <w:gridCol w:w="21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 w:hAnsi="Times New Roman"/>
          <w:sz w:val="20"/>
        </w:rPr>
      </w:pPr>
      <w:r>
        <w:rPr>
          <w:rFonts w:ascii="Times New Roman;serif" w:hAnsi="Times New Roman;serif"/>
          <w:b w:val="false"/>
          <w:sz w:val="20"/>
        </w:rPr>
        <w:t>Interest expense, net increased $1.5 million, or 121.1%, for the three months ended March 31, 2023 as compared to the same period last year. The increase in interest expense, net was primarily due to a higher interest rate on our Term Loan compared to the same period last year, partially offset by $1.5 million interest income earned in the three months ended March 31, 2023. There was no interest income earned in the three months ended March 31, 2022.</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expense,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Income Tax Benefit</w:t>
      </w:r>
    </w:p>
    <w:tbl>
      <w:tblPr>
        <w:tblW w:w="4844" w:type="dxa"/>
        <w:jc w:val="left"/>
        <w:tblInd w:w="0" w:type="dxa"/>
        <w:tblCellMar>
          <w:top w:w="28" w:type="dxa"/>
          <w:left w:w="28" w:type="dxa"/>
          <w:bottom w:w="28" w:type="dxa"/>
          <w:right w:w="28" w:type="dxa"/>
        </w:tblCellMar>
      </w:tblPr>
      <w:tblGrid>
        <w:gridCol w:w="2161"/>
        <w:gridCol w:w="146"/>
        <w:gridCol w:w="211"/>
        <w:gridCol w:w="631"/>
        <w:gridCol w:w="331"/>
        <w:gridCol w:w="146"/>
        <w:gridCol w:w="211"/>
        <w:gridCol w:w="631"/>
        <w:gridCol w:w="376"/>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7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(4,263</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376"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 w:hAnsi="Times New Roman"/>
          <w:sz w:val="20"/>
        </w:rPr>
      </w:pPr>
      <w:r>
        <w:rPr>
          <w:rFonts w:ascii="Times New Roman;serif" w:hAnsi="Times New Roman;serif"/>
          <w:b w:val="false"/>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effective tax rates were (27.9)% and (23.1)% for the three months ended March 31, 2023, and 2022, respectively. The increase in our effective tax rate was primarily due to an increase in non-deductible stock-based compensation expense partially offset by an increase in windfall tax benefit from stock-based compensation expense.</w:t>
      </w:r>
    </w:p>
    <w:p>
      <w:pPr>
        <w:pStyle w:val="TextBody"/>
        <w:spacing w:before="240" w:after="0"/>
        <w:jc w:val="left"/>
        <w:rPr>
          <w:rFonts w:ascii="Times New Roman;serif" w:hAnsi="Times New Roman;serif"/>
          <w:b/>
          <w:i/>
          <w:sz w:val="20"/>
        </w:rPr>
      </w:pPr>
      <w:r>
        <w:rPr>
          <w:rFonts w:ascii="Times New Roman;serif" w:hAnsi="Times New Roman;serif"/>
          <w:b/>
          <w:i/>
          <w:sz w:val="20"/>
        </w:rPr>
        <w:t>Segment Results</w:t>
      </w:r>
    </w:p>
    <w:p>
      <w:pPr>
        <w:pStyle w:val="TextBody"/>
        <w:spacing w:before="120" w:after="0"/>
        <w:jc w:val="left"/>
        <w:rPr>
          <w:rFonts w:ascii="Times New Roman;serif" w:hAnsi="Times New Roman;serif"/>
          <w:b/>
          <w:i/>
          <w:sz w:val="20"/>
        </w:rPr>
      </w:pPr>
      <w:r>
        <w:rPr>
          <w:rFonts w:ascii="Times New Roman;serif" w:hAnsi="Times New Roman;serif"/>
          <w:b/>
          <w:i/>
          <w:sz w:val="20"/>
        </w:rPr>
        <w:t>Segment Net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our net revenue by segment expressed both in dollars (thousands) and as a percentage of net revenue:</w:t>
      </w:r>
    </w:p>
    <w:tbl>
      <w:tblPr>
        <w:tblW w:w="8527" w:type="dxa"/>
        <w:jc w:val="left"/>
        <w:tblInd w:w="0" w:type="dxa"/>
        <w:tblCellMar>
          <w:top w:w="28" w:type="dxa"/>
          <w:left w:w="28" w:type="dxa"/>
          <w:bottom w:w="28" w:type="dxa"/>
          <w:right w:w="28" w:type="dxa"/>
        </w:tblCellMar>
      </w:tblPr>
      <w:tblGrid>
        <w:gridCol w:w="3646"/>
        <w:gridCol w:w="146"/>
        <w:gridCol w:w="211"/>
        <w:gridCol w:w="781"/>
        <w:gridCol w:w="146"/>
        <w:gridCol w:w="146"/>
        <w:gridCol w:w="146"/>
        <w:gridCol w:w="571"/>
        <w:gridCol w:w="271"/>
        <w:gridCol w:w="146"/>
        <w:gridCol w:w="211"/>
        <w:gridCol w:w="781"/>
        <w:gridCol w:w="146"/>
        <w:gridCol w:w="146"/>
        <w:gridCol w:w="146"/>
        <w:gridCol w:w="571"/>
        <w:gridCol w:w="316"/>
      </w:tblGrid>
      <w:tr>
        <w:trPr/>
        <w:tc>
          <w:tcPr>
            <w:tcW w:w="3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1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Gamer and Creator Peripherals Segment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Gaming Components and Systems Segment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Memory Products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316"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Component Products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133,685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114,389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246,543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353,964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Gamer and Creator Peripherals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revenue of the gamer and creator peripherals segment decreased $45.2 million, or 33.7%, for the three months ended March 31, 2023 as compared to the same period last year due to demand softness primarily driven by challenging macroeconomic environment, including the adverse impacts from the war between Russia and Ukraine and inflationary pressure on consumer spending, most notably in Europe.</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Gaming Components and Systems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revenue of the gaming components and systems segment increased $18.5 million, or 7.5%, for the three months ended March 31, 2023 as compared to the same period last year, primarily due to increased sales in the demand for our PSU and cooling solutions as the self-built PC market has been positively impacted by an increase in availability of reasonably priced GPUs and CPUs as well as the release of new game titles.</w:t>
      </w:r>
    </w:p>
    <w:p>
      <w:pPr>
        <w:pStyle w:val="TextBody"/>
        <w:spacing w:before="120" w:after="0"/>
        <w:jc w:val="left"/>
        <w:rPr>
          <w:rFonts w:ascii="Times New Roman;serif" w:hAnsi="Times New Roman;serif"/>
          <w:b/>
          <w:i/>
          <w:sz w:val="20"/>
        </w:rPr>
      </w:pPr>
      <w:r>
        <w:rPr>
          <w:rFonts w:ascii="Times New Roman;serif" w:hAnsi="Times New Roman;serif"/>
          <w:b/>
          <w:i/>
          <w:sz w:val="20"/>
        </w:rPr>
        <w:t>Segment Gross Profit and Gross Margin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our gross profit expressed in dollars (thousands) and gross margin (which we define as gross profit as a percentage of net revenue) by segment:</w:t>
      </w:r>
    </w:p>
    <w:tbl>
      <w:tblPr>
        <w:tblW w:w="8107" w:type="dxa"/>
        <w:jc w:val="left"/>
        <w:tblInd w:w="0" w:type="dxa"/>
        <w:tblCellMar>
          <w:top w:w="28" w:type="dxa"/>
          <w:left w:w="28" w:type="dxa"/>
          <w:bottom w:w="28" w:type="dxa"/>
          <w:right w:w="28" w:type="dxa"/>
        </w:tblCellMar>
      </w:tblPr>
      <w:tblGrid>
        <w:gridCol w:w="3646"/>
        <w:gridCol w:w="146"/>
        <w:gridCol w:w="211"/>
        <w:gridCol w:w="676"/>
        <w:gridCol w:w="146"/>
        <w:gridCol w:w="146"/>
        <w:gridCol w:w="146"/>
        <w:gridCol w:w="466"/>
        <w:gridCol w:w="271"/>
        <w:gridCol w:w="146"/>
        <w:gridCol w:w="211"/>
        <w:gridCol w:w="676"/>
        <w:gridCol w:w="146"/>
        <w:gridCol w:w="146"/>
        <w:gridCol w:w="146"/>
        <w:gridCol w:w="466"/>
        <w:gridCol w:w="316"/>
      </w:tblGrid>
      <w:tr>
        <w:trPr/>
        <w:tc>
          <w:tcPr>
            <w:tcW w:w="3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9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Gamer and Creator Peripherals Segment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Gaming Components and Systems Segment</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36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Memory Products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316"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Component Products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Gamer and Creator Peripherals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gross margin of the gamer and creator peripherals segment decreased in the three months ended March 31, 2023 by 2.1% as compared to the same period last year, primarily due to higher excess and obsolescence charges, partially offset by lower freight costs and tariffs as well as decreased promotional activity.</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Gaming Components and Systems Segment</w:t>
      </w:r>
    </w:p>
    <w:p>
      <w:pPr>
        <w:pStyle w:val="TextBody"/>
        <w:spacing w:before="120" w:after="0"/>
        <w:jc w:val="left"/>
        <w:rPr>
          <w:rFonts w:ascii="Times New Roman" w:hAnsi="Times New Roman"/>
          <w:sz w:val="20"/>
        </w:rPr>
      </w:pPr>
      <w:r>
        <w:rPr>
          <w:rFonts w:ascii="Times New Roman;serif" w:hAnsi="Times New Roman;serif"/>
          <w:b w:val="false"/>
          <w:sz w:val="20"/>
        </w:rPr>
        <w:t>The gross margin of the gaming components and systems segment increased in the three months ended March 31, 2023</w:t>
      </w:r>
      <w:r>
        <w:rPr>
          <w:rFonts w:ascii="Times New Roman" w:hAnsi="Times New Roman"/>
          <w:sz w:val="20"/>
        </w:rPr>
        <w:t xml:space="preserve"> </w:t>
      </w:r>
      <w:r>
        <w:rPr>
          <w:rFonts w:ascii="Times New Roman;serif" w:hAnsi="Times New Roman;serif"/>
          <w:b w:val="false"/>
          <w:sz w:val="20"/>
        </w:rPr>
        <w:t>by 2.9% as compared to the same period last year, primarily due to a change in sales mix toward higher margin products in this segment and lower freight costs and tariffs.</w:t>
      </w:r>
    </w:p>
    <w:p>
      <w:pPr>
        <w:pStyle w:val="TextBody"/>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i/>
          <w:sz w:val="20"/>
        </w:rPr>
      </w:pPr>
      <w:r>
        <w:rPr>
          <w:rFonts w:ascii="Times New Roman;serif" w:hAnsi="Times New Roman;serif"/>
          <w:b/>
          <w:i/>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Our principal sources of liquidity have been the payments received from customers purchasing our products, the borrowings under our Credit Agreement (defined below) and the net proceeds we received from our underwritten public offerings.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29, 2022, one of our subsidiaries entered into an accounts receivable Factoring Agreement with a third-party financial institution, or the Factor. Pursuant to the terms of the arrangement, we sell certain of our customer receivables on a non-recourse basis to the Factor. Our obligations to the Factor, related to advances from the Factor, are secured by certain assets of our subsidiary. The cost of factoring is not expected to have a material effect to our overall liquidity, financial condition or results of operations. There was no advance taken from the Factor during the three months ended March 31, 2023.</w:t>
      </w:r>
    </w:p>
    <w:p>
      <w:pPr>
        <w:pStyle w:val="TextBody"/>
        <w:spacing w:before="120" w:after="0"/>
        <w:jc w:val="left"/>
        <w:rPr>
          <w:rFonts w:ascii="Times New Roman" w:hAnsi="Times New Roman"/>
          <w:sz w:val="20"/>
        </w:rPr>
      </w:pPr>
      <w:r>
        <w:rPr>
          <w:rFonts w:ascii="Times New Roman;serif" w:hAnsi="Times New Roman;serif"/>
          <w:b w:val="false"/>
          <w:sz w:val="20"/>
        </w:rPr>
        <w:t>Our principal uses of cash generally will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had cash and restricted cash, in aggregate of $182.1 million, including $27.9 million held by our foreign subsidiaries. Amounts held outside of the United States are generally utilized to support our non-U.S. liquidity needs. Repatriations of amounts held outside the United States generally will not be taxable from a U.S. federal tax perspective but may be subject to state income or foreign withholding tax. We do not expect restrictions or potential taxes incurred on repatriation of amounts held outside of the United States to have a material effect on our overall liquidity, financial condition or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the anticipated cash flows from operations based on our current business outlook, combined with our current levels of cash balances at March 31, 2023, supplemented with the borrowings under our Revolving Credit Facility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pStyle w:val="TextBody"/>
        <w:spacing w:before="240" w:after="0"/>
        <w:jc w:val="left"/>
        <w:rPr>
          <w:rFonts w:ascii="Times New Roman;serif" w:hAnsi="Times New Roman;serif"/>
          <w:b/>
          <w:i/>
          <w:sz w:val="20"/>
        </w:rPr>
      </w:pPr>
      <w:r>
        <w:rPr>
          <w:rFonts w:ascii="Times New Roman;serif" w:hAnsi="Times New Roman;serif"/>
          <w:b/>
          <w:i/>
          <w:sz w:val="20"/>
        </w:rPr>
        <w:t>Liquidity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cash flows for the periods presented (in thousands):</w:t>
      </w:r>
    </w:p>
    <w:tbl>
      <w:tblPr>
        <w:tblW w:w="5512" w:type="dxa"/>
        <w:jc w:val="left"/>
        <w:tblInd w:w="0" w:type="dxa"/>
        <w:tblCellMar>
          <w:top w:w="28" w:type="dxa"/>
          <w:left w:w="28" w:type="dxa"/>
          <w:bottom w:w="28" w:type="dxa"/>
          <w:right w:w="28" w:type="dxa"/>
        </w:tblCellMar>
      </w:tblPr>
      <w:tblGrid>
        <w:gridCol w:w="2656"/>
        <w:gridCol w:w="146"/>
        <w:gridCol w:w="236"/>
        <w:gridCol w:w="756"/>
        <w:gridCol w:w="185"/>
        <w:gridCol w:w="163"/>
        <w:gridCol w:w="236"/>
        <w:gridCol w:w="823"/>
        <w:gridCol w:w="311"/>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center"/>
              <w:rPr/>
            </w:pPr>
            <w:r>
              <w:rPr/>
              <w:t> </w:t>
            </w:r>
          </w:p>
        </w:tc>
        <w:tc>
          <w:tcPr>
            <w:tcW w:w="10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059"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059"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26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41,826</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(6,106</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(4,677</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(23,899</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(9,886</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Cash Flows from Operating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provided by operating activities for the three months ended March 31, 2023 was $41.8 million and consisted of a net cash inflow of $25.7 million from changes in our net operating assets and liabilities and non-cash adjustments of $17.8 million, offset partially by a net loss of $1.6 million. The net cash inflow from changes in our net operating assets and liabilities was primarily related to a decrease in accounts receivable, a decrease in inventories and an increase in accounts payable due to timing of payments. These net cash inflows were partially offset by a decrease in other liabilities and accrued expenses mainly due to lower accrual for sales returns and customer incentives. The non-cash adjustments consisted primarily of amortization of intangibles, depreciation and stock-based compensation expense, which were partially offset by changes in deferred income taxes.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for the three months ended March 31, 2022 was $6.1 million and consisted of net loss of $3.3 million and $17.3 million net cash outflow from changes in our net operating assets and liabilities, partially offset by non-cash adjustments of $14.5 million. The net cash outflow from changes in our net operating assets and liabilities was primarily related to a decrease in accounts payable due to timing of payments and a decrease in other liabilities and accrued expenses mainly due to lower accrual for sales returns and customer incentives and bonus expense, as well as an increase in prepaid and other assets. The net cash outflows were partially offset by a decrease in accounts receivable. The non-cash adjustments consisted primarily of amortization of intangibles, depreciation and stock-based compensation expense, which were partially offset by changes in deferred tax assets.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Cash Flows from 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used in investing activities was $4.7 million for the three months ended March 31, 2023 and consisted of purchases of capital equipment and software.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used in investing activities was $23.9 million for the three months ended March 31, 2022 and consisted of $19.5 million for the iDisplay Acquisition (net of cash acquired) and $4.4 million for the purchase of capital equipment and software.</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Cash Flows from 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used in financing activities was $9.9 million for the three months ended March 31, 2023 and consisted of $10.0 million repayment of debt, $1.0 million payment of contingent consideration, $0.6 million payment of taxes related to net share settlement of equity awards, and $0.5 million payment of offering costs in connection with our underwritten public offering in the fourth quarter of 2022, partially offset by $2.1 million proceeds received from the issuance of shares through employee equity incentive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used in financing activities was $1.9 million for the three months ended March 31, 2022 and consisted primarily of $1.3 million repayment of debt and $0.9 million payment of taxes related to net share settlement of equity awards, partially offset by $0.5 million proceeds received from the issuance of shares through the employee equity incentive plans. During the three months ended March 31, 2022, we also borrowed $293.0 million from our revolving credit facility to fund our operations and the full amount was repaid within the same quarter.</w:t>
      </w:r>
    </w:p>
    <w:p>
      <w:pPr>
        <w:pStyle w:val="TextBody"/>
        <w:spacing w:before="240" w:after="0"/>
        <w:jc w:val="left"/>
        <w:rPr>
          <w:rFonts w:ascii="Times New Roman;serif" w:hAnsi="Times New Roman;serif"/>
          <w:b/>
          <w:i/>
          <w:sz w:val="20"/>
        </w:rPr>
      </w:pPr>
      <w:r>
        <w:rPr>
          <w:rFonts w:ascii="Times New Roman;serif" w:hAnsi="Times New Roman;serif"/>
          <w:b/>
          <w:i/>
          <w:sz w:val="20"/>
        </w:rPr>
        <w:t>Capital Resources</w:t>
      </w:r>
    </w:p>
    <w:p>
      <w:pPr>
        <w:pStyle w:val="TextBody"/>
        <w:spacing w:before="120" w:after="240"/>
        <w:jc w:val="left"/>
        <w:rPr>
          <w:rFonts w:ascii="Times New Roman;serif" w:hAnsi="Times New Roman;serif"/>
          <w:b w:val="false"/>
          <w:i/>
          <w:sz w:val="20"/>
        </w:rPr>
      </w:pPr>
      <w:r>
        <w:rPr>
          <w:rFonts w:ascii="Times New Roman;serif" w:hAnsi="Times New Roman;serif"/>
          <w:b w:val="false"/>
          <w:i/>
          <w:sz w:val="20"/>
        </w:rPr>
        <w:t>Credit Agreement (Term Loan and Revolving Credit Facility)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3, 2021, we refinanced the First Lien Credit and Guaranty Agreement with a new Credit Agreement (as amended, the “Credit Agreement”). The new Credit Agreement provides for a total commitment of $350.0 million, consisting of a $100.0 million revolving credit facility (“Revolving Credit Facility”) and a $250.0 million term loan facility (“Term Loan”).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$3.75 million and $8.75 million of the Term Loan principal in the year ended December 31, 2022 and in the three months ended March 31, 2023, respectively.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 Loan and Revolving Credit Facility under the Credit Agreement will each bear interest at our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pStyle w:val="TextBody"/>
        <w:spacing w:before="120" w:after="0"/>
        <w:jc w:val="left"/>
        <w:rPr>
          <w:rFonts w:ascii="Times New Roman" w:hAnsi="Times New Roman"/>
          <w:sz w:val="20"/>
        </w:rPr>
      </w:pPr>
      <w:r>
        <w:rPr>
          <w:rFonts w:ascii="Times New Roman;serif" w:hAnsi="Times New Roman;serif"/>
          <w:b w:val="false"/>
          <w:sz w:val="20"/>
        </w:rPr>
        <w:t>On June 30, 2022, we entered into a First Amendment of the Credit Agreement (“First Amendment”) which, among other changes, resulted in the Bloomberg Short-Term Bank Yield Index rate (“BSBY”) being utilized as a replacement rate for LIBOR.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Consequently, following the First Amendment, the Term Loan and Revolving Facility will each bear interest at our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29, 2022, we entered into an accounts receivable Factoring Agreement with the Factor.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November 28, 2022, we entered into a Third Amendment (“Third Amendment”) to the Credit Agreement which provides for, among other things: (i) a decrease in the required minimum Consolidated Interest Coverage Ratio (as defined in the Credit Agreement) to 2.50 to 1.00 for the quarters ending on and after March 31, 2023 through and including December 31, 2023; (ii) an increase in the maximum permitted Consolidated Total Net Leverage Ratio (as defined in the Credit Agreement) to 3.75 to 1.00 for the quarters ending December 31, 2022 and March 31, 2023, stepping down to 3.50 to 1.00 for the quarter ending June 30, 2023, and 3.25 to 1.00 for the quarters ending September 30, 2023 and December 31, 2023; and (iii) a modified pricing grid providing for an increased margin (ranging from (x) 1.50% per annum to 3.25% per annum for loans bearing interest at the BSBY rate, and (y) 0.50% per annum to 2.25% per annum for loans bearing interest at the base rate, in each case depending on our Consolidated Total Net Leverage Ratio) for the period of December 31, 2022 through December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were not in default under the Credit Agreement. As of March 31, 2023, the total principal outstanding of the Term Loan was $230.0 million and the available and uncommitted capacity under the Revolving Credit Facility was $100 million.</w:t>
      </w:r>
    </w:p>
    <w:p>
      <w:pPr>
        <w:pStyle w:val="TextBody"/>
        <w:spacing w:before="240" w:after="0"/>
        <w:jc w:val="left"/>
        <w:rPr>
          <w:rFonts w:ascii="Times New Roman;serif" w:hAnsi="Times New Roman;serif"/>
          <w:b/>
          <w:i/>
          <w:sz w:val="20"/>
        </w:rPr>
      </w:pPr>
      <w:r>
        <w:rPr>
          <w:rFonts w:ascii="Times New Roman;serif" w:hAnsi="Times New Roman;serif"/>
          <w:b/>
          <w:i/>
          <w:sz w:val="20"/>
        </w:rPr>
        <w:t>Contractual Cash and Other Obligations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contractual cash and other obligations as of March 31, 2023 (in thousands):</w:t>
      </w:r>
    </w:p>
    <w:tbl>
      <w:tblPr>
        <w:tblW w:w="9736" w:type="dxa"/>
        <w:jc w:val="left"/>
        <w:tblInd w:w="0" w:type="dxa"/>
        <w:tblCellMar>
          <w:top w:w="28" w:type="dxa"/>
          <w:left w:w="28" w:type="dxa"/>
          <w:bottom w:w="28" w:type="dxa"/>
          <w:right w:w="28" w:type="dxa"/>
        </w:tblCellMar>
      </w:tblPr>
      <w:tblGrid>
        <w:gridCol w:w="3481"/>
        <w:gridCol w:w="146"/>
        <w:gridCol w:w="211"/>
        <w:gridCol w:w="781"/>
        <w:gridCol w:w="146"/>
        <w:gridCol w:w="146"/>
        <w:gridCol w:w="211"/>
        <w:gridCol w:w="781"/>
        <w:gridCol w:w="146"/>
        <w:gridCol w:w="146"/>
        <w:gridCol w:w="211"/>
        <w:gridCol w:w="676"/>
        <w:gridCol w:w="146"/>
        <w:gridCol w:w="146"/>
        <w:gridCol w:w="211"/>
        <w:gridCol w:w="781"/>
        <w:gridCol w:w="146"/>
        <w:gridCol w:w="146"/>
        <w:gridCol w:w="211"/>
        <w:gridCol w:w="676"/>
        <w:gridCol w:w="19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1-3</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3-5</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More than</w:t>
              <w:br/>
              <w:t>5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Debt principal and interest payments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272,618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Inventory-related purchase obligations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Operating lease obligations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22,171</w:t>
            </w:r>
          </w:p>
        </w:tc>
        <w:tc>
          <w:tcPr>
            <w:tcW w:w="1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Other purchase obligations</w:t>
            </w:r>
            <w:r>
              <w:rPr>
                <w:rFonts w:ascii="Times New Roman" w:hAnsi="Times New Roman"/>
                <w:sz w:val="20"/>
              </w:rPr>
              <w:t>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450,389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67,285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212,345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spacing w:before="0" w:after="0"/>
        <w:jc w:val="left"/>
        <w:rPr/>
      </w:pPr>
      <w:r>
        <w:rPr>
          <w:rFonts w:ascii="Times New Roman;serif" w:hAnsi="Times New Roman;serif"/>
          <w:b w:val="false"/>
          <w:sz w:val="20"/>
        </w:rPr>
        <w:t>Amounts represent the principal cash payments as</w:t>
      </w:r>
      <w:r>
        <w:rPr/>
        <w:t xml:space="preserve"> </w:t>
      </w:r>
      <w:r>
        <w:rPr>
          <w:rFonts w:ascii="Times New Roman;serif" w:hAnsi="Times New Roman;serif"/>
          <w:b w:val="false"/>
          <w:sz w:val="18"/>
        </w:rPr>
        <w:t xml:space="preserve">of March 31, 2023 </w:t>
      </w:r>
      <w:r>
        <w:rPr>
          <w:rFonts w:ascii="Times New Roman;serif" w:hAnsi="Times New Roman;serif"/>
          <w:b w:val="false"/>
          <w:sz w:val="20"/>
        </w:rPr>
        <w:t>of our Term Loan based on the repayment schedule according to the Credit Agreement and the expected interest payments associated with the Term Loan. See Note 8, “Debt” to our condensed consolidated financial statements for more information</w:t>
      </w:r>
      <w:r>
        <w:rPr>
          <w:rFonts w:ascii="Times New Roman;serif" w:hAnsi="Times New Roman;serif"/>
          <w:b w:val="false"/>
          <w:sz w:val="18"/>
        </w:rPr>
        <w:t>.</w:t>
      </w:r>
    </w:p>
    <w:p>
      <w:pPr>
        <w:pStyle w:val="TextBody"/>
        <w:spacing w:before="40" w:after="0"/>
        <w:jc w:val="left"/>
        <w:rPr>
          <w:rFonts w:ascii="Times New Roman" w:hAnsi="Times New Roman"/>
          <w:b w:val="false"/>
          <w:sz w:val="18"/>
        </w:rPr>
      </w:pPr>
      <w:r>
        <w:rPr>
          <w:rFonts w:ascii="Times New Roman" w:hAnsi="Times New Roman"/>
          <w:b w:val="false"/>
          <w:sz w:val="18"/>
        </w:rPr>
        <w:t>(2)</w:t>
      </w:r>
    </w:p>
    <w:p>
      <w:pPr>
        <w:pStyle w:val="TextBody"/>
        <w:spacing w:before="40" w:after="0"/>
        <w:jc w:val="left"/>
        <w:rPr/>
      </w:pPr>
      <w:r>
        <w:rPr>
          <w:rFonts w:ascii="Times New Roman;serif" w:hAnsi="Times New Roman;serif"/>
          <w:b w:val="false"/>
          <w:sz w:val="20"/>
        </w:rPr>
        <w:t>Amounts represent an estimate of purchase obligations related to inventory</w:t>
      </w:r>
      <w:r>
        <w:rPr>
          <w:rFonts w:ascii="Times New Roman;serif" w:hAnsi="Times New Roman;serif"/>
          <w:b w:val="false"/>
          <w:sz w:val="18"/>
        </w:rPr>
        <w:t>.</w:t>
      </w:r>
    </w:p>
    <w:p>
      <w:pPr>
        <w:pStyle w:val="TextBody"/>
        <w:spacing w:before="40" w:after="0"/>
        <w:jc w:val="left"/>
        <w:rPr>
          <w:rFonts w:ascii="Times New Roman" w:hAnsi="Times New Roman"/>
          <w:b w:val="false"/>
          <w:sz w:val="18"/>
        </w:rPr>
      </w:pPr>
      <w:r>
        <w:rPr>
          <w:rFonts w:ascii="Times New Roman" w:hAnsi="Times New Roman"/>
          <w:b w:val="false"/>
          <w:sz w:val="18"/>
        </w:rPr>
        <w:t>(3)</w:t>
      </w:r>
    </w:p>
    <w:p>
      <w:pPr>
        <w:pStyle w:val="TextBody"/>
        <w:spacing w:before="40" w:after="0"/>
        <w:jc w:val="left"/>
        <w:rPr/>
      </w:pPr>
      <w:r>
        <w:rPr>
          <w:rFonts w:ascii="Times New Roman;serif" w:hAnsi="Times New Roman;serif"/>
          <w:b w:val="false"/>
          <w:sz w:val="20"/>
        </w:rPr>
        <w:t>Amounts represent contractual obligations from our operating leases for offices and warehouse spaces</w:t>
      </w:r>
      <w:r>
        <w:rPr>
          <w:rFonts w:ascii="Times New Roman;serif" w:hAnsi="Times New Roman;serif"/>
          <w:b w:val="false"/>
          <w:sz w:val="18"/>
        </w:rPr>
        <w:t xml:space="preserve">. </w:t>
      </w:r>
    </w:p>
    <w:p>
      <w:pPr>
        <w:pStyle w:val="TextBody"/>
        <w:spacing w:before="40" w:after="0"/>
        <w:jc w:val="left"/>
        <w:rPr>
          <w:rFonts w:ascii="Times New Roman" w:hAnsi="Times New Roman"/>
          <w:b w:val="false"/>
          <w:sz w:val="18"/>
        </w:rPr>
      </w:pPr>
      <w:r>
        <w:rPr>
          <w:rFonts w:ascii="Times New Roman" w:hAnsi="Times New Roman"/>
          <w:b w:val="false"/>
          <w:sz w:val="18"/>
        </w:rPr>
        <w:t>(4)</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Amounts represent non-cancelable obligations related to capital expenditures, software licenses, marketing and other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had $2.6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pStyle w:val="TextBody"/>
        <w:spacing w:before="240" w:after="0"/>
        <w:jc w:val="left"/>
        <w:rPr>
          <w:rFonts w:ascii="Times New Roman;serif" w:hAnsi="Times New Roman;serif"/>
          <w:b/>
          <w:sz w:val="20"/>
        </w:rPr>
      </w:pPr>
      <w:r>
        <w:rPr>
          <w:rFonts w:ascii="Times New Roman;serif" w:hAnsi="Times New Roman;serif"/>
          <w:b/>
          <w:sz w:val="20"/>
        </w:rPr>
        <w:t>Critical Accounting Polices and Estimates</w:t>
      </w:r>
    </w:p>
    <w:p>
      <w:pPr>
        <w:pStyle w:val="TextBody"/>
        <w:spacing w:before="120" w:after="0"/>
        <w:jc w:val="left"/>
        <w:rPr>
          <w:rFonts w:ascii="Times New Roman" w:hAnsi="Times New Roman"/>
          <w:sz w:val="20"/>
        </w:rPr>
      </w:pPr>
      <w:r>
        <w:rPr>
          <w:rFonts w:ascii="Times New Roman;serif" w:hAnsi="Times New Roman;serif"/>
          <w:b w:val="false"/>
          <w:sz w:val="20"/>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w:t>
      </w:r>
      <w:r>
        <w:rPr>
          <w:rFonts w:ascii="Times New Roman" w:hAnsi="Times New Roman"/>
          <w:sz w:val="20"/>
        </w:rPr>
        <w:t xml:space="preserve"> </w:t>
      </w:r>
      <w:r>
        <w:rPr>
          <w:rFonts w:ascii="Times New Roman;serif" w:hAnsi="Times New Roman;serif"/>
          <w:b w:val="false"/>
          <w:sz w:val="20"/>
        </w:rPr>
        <w:t>Our consolidated financial statements are prepared in accordance with U.S. generally accepted accounting principles (“GAAP”), which requires us to make estimates, judgments and assumptions that affect the reported amounts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than the new items discussed in Note 2 of our condensed consolidated financial statements, there have been no material changes to our critical accounting policies and estimates during the three months ended March 31, 2023 as compared to the critical accounting policies and estimates described in our Management’s Discussion and Analysis of Financial Condition and Results of Operations included in our Annual Report on Form 10-K for the year ended December 31, 2022 filed with the SEC on February 27, 2023.</w:t>
      </w:r>
    </w:p>
    <w:p>
      <w:pPr>
        <w:pStyle w:val="TextBody"/>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Refer to Note 2 to the condensed consolidated financial statements included in this Quarterly Report on Form 10-Q for recent accounting pronouncements adopted and to be adopted.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pStyle w:val="TextBody"/>
        <w:spacing w:before="240" w:after="0"/>
        <w:jc w:val="left"/>
        <w:rPr>
          <w:rFonts w:ascii="Times New Roman;serif" w:hAnsi="Times New Roman;serif"/>
          <w:b/>
          <w:i/>
          <w:sz w:val="20"/>
        </w:rPr>
      </w:pPr>
      <w:r>
        <w:rPr>
          <w:rFonts w:ascii="Times New Roman;serif" w:hAnsi="Times New Roman;serif"/>
          <w:b/>
          <w:i/>
          <w:sz w:val="20"/>
        </w:rPr>
        <w:t>Interest Rate Risk</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cash and restricted cash of $182.1 million, which consisted primarily of bank deposits. Our cash is held for working capital purposes.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under the Credit Agreement, we had $230.0 million Term Loan outstanding (face value), and the Term Loan bears variable market rates, primarily BSBY. See Note 8, “Debt - Credit Agreement” to our condensed consolidated financial statements for additional information on the Credit Agreement. A significant change in these market rates may adversely affect our operating results. As of March 31, 2023, a hypothetical 100 basis point change in interest rates would result in a change to annual interest expense by approximately $2.3 million.</w:t>
      </w:r>
    </w:p>
    <w:p>
      <w:pPr>
        <w:pStyle w:val="TextBody"/>
        <w:spacing w:before="240" w:after="0"/>
        <w:jc w:val="left"/>
        <w:rPr>
          <w:rFonts w:ascii="Times New Roman;serif" w:hAnsi="Times New Roman;serif"/>
          <w:b/>
          <w:i/>
          <w:sz w:val="20"/>
        </w:rPr>
      </w:pPr>
      <w:r>
        <w:rPr>
          <w:rFonts w:ascii="Times New Roman;serif" w:hAnsi="Times New Roman;serif"/>
          <w:b/>
          <w:i/>
          <w:sz w:val="20"/>
        </w:rPr>
        <w:t>Foreign Currency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Approximately 15.7% of our net revenue for the three months ended March 31, 2023 was denominated in foreign currencies, primarily Euro and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pStyle w:val="TextBody"/>
        <w:spacing w:before="120" w:after="0"/>
        <w:jc w:val="left"/>
        <w:rPr>
          <w:rFonts w:ascii="Times New Roman" w:hAnsi="Times New Roman"/>
          <w:sz w:val="20"/>
        </w:rPr>
      </w:pPr>
      <w:r>
        <w:rPr>
          <w:rFonts w:ascii="Times New Roman;serif" w:hAnsi="Times New Roman;serif"/>
          <w:b w:val="false"/>
          <w:sz w:val="20"/>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$25.3 million and $23.4 million as of March 31, 2023 and December 31, 2022, respectively. The gains or losses on these contracts are recognized in earnings based on the changes in fair value of the foreign currency forward contracts.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changes in foreign currency rates, including the gains or (losses) on the forward currency contracts, recognized in other (expense) income, net was $(0.6) million for each of the three months ended March 31, 2023 and 2022. A hypothetical ten percent change in exchange rates between foreign currencies and the U.S. dollar would increase or decrease our gains or losses on foreign currency exchange of approximately $0.9 million in our condensed consolidated financial statements for the three months ended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Limitations on Effectiveness of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pStyle w:val="TextBody"/>
        <w:spacing w:before="24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Our management, with the participation of our principal executive officer and our principal financial officer, has evaluated the effectiveness of our disclosure controls and procedures as of the end of the period covered by this Quarterly Report on Form 10-Q.</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this evaluation, our chief executive officer and chief financial officer concluded that, as of March 31, 2023,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24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that occurred during the quarter ended March 31, 2023 that have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bookmarkStart w:id="14" w:name="part_iior_information"/>
      <w:bookmarkEnd w:id="14"/>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spacing w:before="240" w:after="0"/>
        <w:jc w:val="left"/>
        <w:rPr>
          <w:rFonts w:ascii="Times New Roman;serif" w:hAnsi="Times New Roman;serif"/>
          <w:b/>
          <w:sz w:val="20"/>
        </w:rPr>
      </w:pPr>
      <w:bookmarkStart w:id="15" w:name="item_1_legal_proceedings"/>
      <w:bookmarkEnd w:id="15"/>
      <w:r>
        <w:rPr>
          <w:rFonts w:ascii="Times New Roman;serif" w:hAnsi="Times New Roman;serif"/>
          <w:b/>
          <w:sz w:val="20"/>
        </w:rPr>
        <w:t>Item 1. 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pStyle w:val="TextBody"/>
        <w:spacing w:before="240" w:after="0"/>
        <w:jc w:val="left"/>
        <w:rPr>
          <w:rFonts w:ascii="Times New Roman;serif" w:hAnsi="Times New Roman;serif"/>
          <w:b/>
          <w:sz w:val="20"/>
        </w:rPr>
      </w:pPr>
      <w:bookmarkStart w:id="16" w:name="item_ia_risk_factor"/>
      <w:bookmarkEnd w:id="16"/>
      <w:r>
        <w:rPr>
          <w:rFonts w:ascii="Times New Roman;serif" w:hAnsi="Times New Roman;serif"/>
          <w:b/>
          <w:sz w:val="20"/>
        </w:rPr>
        <w:t>Item 1A. Risk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disclosed under the heading “Risk Factors” in Part I, Item 1A of our Annual Report on Form 10-K for the year ended December 31, 2022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2022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pStyle w:val="TextBody"/>
        <w:spacing w:before="240" w:after="0"/>
        <w:jc w:val="left"/>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 w:hAnsi="Times New Roman"/>
          <w:sz w:val="20"/>
        </w:rPr>
      </w:pPr>
      <w:bookmarkStart w:id="18" w:name="item_3_defaults_upon_senior_securities"/>
      <w:bookmarkEnd w:id="18"/>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20" w:name="item_5_other_information"/>
      <w:bookmarkEnd w:id="20"/>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66"/>
        <w:gridCol w:w="146"/>
        <w:gridCol w:w="5113"/>
        <w:gridCol w:w="801"/>
        <w:gridCol w:w="146"/>
        <w:gridCol w:w="466"/>
        <w:gridCol w:w="146"/>
        <w:gridCol w:w="146"/>
        <w:gridCol w:w="631"/>
        <w:gridCol w:w="146"/>
        <w:gridCol w:w="724"/>
        <w:gridCol w:w="146"/>
        <w:gridCol w:w="828"/>
      </w:tblGrid>
      <w:tr>
        <w:trPr/>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3"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13" w:type="dxa"/>
            <w:tcBorders/>
            <w:shd w:fill="auto" w:val="clear"/>
            <w:vAlign w:val="center"/>
          </w:tcPr>
          <w:p>
            <w:pPr>
              <w:pStyle w:val="TableContents"/>
              <w:spacing w:before="0" w:after="0"/>
              <w:ind w:left="0" w:right="0" w:hanging="0"/>
              <w:jc w:val="center"/>
              <w:rPr/>
            </w:pPr>
            <w:r>
              <w:rPr/>
              <w:t> </w:t>
            </w:r>
          </w:p>
        </w:tc>
        <w:tc>
          <w:tcPr>
            <w:tcW w:w="801" w:type="dxa"/>
            <w:tcBorders/>
            <w:shd w:fill="auto" w:val="clear"/>
            <w:vAlign w:val="center"/>
          </w:tcPr>
          <w:p>
            <w:pPr>
              <w:pStyle w:val="TableContents"/>
              <w:spacing w:before="0" w:after="0"/>
              <w:ind w:left="0" w:right="0" w:hanging="0"/>
              <w:jc w:val="center"/>
              <w:rPr/>
            </w:pPr>
            <w:r>
              <w:rPr/>
              <w:t> </w:t>
            </w:r>
          </w:p>
        </w:tc>
        <w:tc>
          <w:tcPr>
            <w:tcW w:w="2405"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Reference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shd w:fill="auto" w:val="clear"/>
            <w:vAlign w:val="center"/>
          </w:tcPr>
          <w:p>
            <w:pPr>
              <w:pStyle w:val="TableContents"/>
              <w:spacing w:before="0" w:after="0"/>
              <w:ind w:left="0" w:right="0" w:hanging="0"/>
              <w:jc w:val="center"/>
              <w:rPr/>
            </w:pPr>
            <w:r>
              <w:rPr/>
              <w:t> </w:t>
            </w:r>
          </w:p>
        </w:tc>
        <w:tc>
          <w:tcPr>
            <w:tcW w:w="5113"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801" w:type="dxa"/>
            <w:tcBorders/>
            <w:shd w:fill="auto" w:val="clear"/>
            <w:vAlign w:val="center"/>
          </w:tcPr>
          <w:p>
            <w:pPr>
              <w:pStyle w:val="TableContents"/>
              <w:spacing w:before="0" w:after="0"/>
              <w:ind w:left="0" w:right="0" w:hanging="0"/>
              <w:jc w:val="center"/>
              <w:rPr/>
            </w:pPr>
            <w:r>
              <w:rPr/>
              <w:t> </w:t>
            </w:r>
          </w:p>
        </w:tc>
        <w:tc>
          <w:tcPr>
            <w:tcW w:w="758"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24"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 Filed</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Filed</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Herewith</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Second Amended and Restated Certificate of Incorporation.</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noBreakHyphen/>
              <w:t>K</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09/25/2020</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noBreakHyphen/>
              <w:t>K</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09/25/2020</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Form of common stock certificate of Registrant.</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09/18/2020</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Investor Rights Agreement, by and between Corsair Gaming, Inc. and Corsair Group (Cayman), LP.</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11/10/2020</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Description of Corsair’s Securities Registered Pursuant to Section 12 of the Securities Exchange Act of 1934.</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03/11/2021</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Registration Rights Agreement, by and between Corsair Gaming, Inc. and Corsair Group (Cayman), LP.</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09/14/2020</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w:anchor="crsr-ex31_1.htm">
              <w:r>
                <w:rPr>
                  <w:rStyle w:val="InternetLink"/>
                  <w:rFonts w:ascii="Times New Roman;serif" w:hAnsi="Times New Roman;serif"/>
                  <w:b w:val="false"/>
                  <w:sz w:val="20"/>
                  <w:u w:val="single"/>
                </w:rPr>
                <w:t>Certification of Principal Executive Officer under Securities Exchange Act Rule 13a</w:t>
                <w:noBreakHyphen/>
                <w:t>14(a) and 15d</w:t>
                <w:noBreakHyphen/>
                <w:t>14(a).</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w:anchor="crsr-ex31_2.htm">
              <w:r>
                <w:rPr>
                  <w:rStyle w:val="InternetLink"/>
                  <w:rFonts w:ascii="Times New Roman;serif" w:hAnsi="Times New Roman;serif"/>
                  <w:b w:val="false"/>
                  <w:sz w:val="20"/>
                  <w:u w:val="single"/>
                </w:rPr>
                <w:t>Certification of Principal Financial Officer under Securities Exchange Act Rule 13a</w:t>
                <w:noBreakHyphen/>
                <w:t>14(a) and 15d</w:t>
                <w:noBreakHyphen/>
                <w:t>14(a).</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hyperlink w:anchor="crsr-ex32_1.htm">
              <w:r>
                <w:rPr>
                  <w:rStyle w:val="InternetLink"/>
                  <w:rFonts w:ascii="Times New Roman;serif" w:hAnsi="Times New Roman;serif"/>
                  <w:b w:val="false"/>
                  <w:sz w:val="20"/>
                  <w:u w:val="single"/>
                </w:rPr>
                <w:t>Certifications of Principal Executive Officer and Principal Financial Officer pursuant to 18 U.S.C. 1350 and Securities Exchange Act Rule 13a</w:t>
                <w:noBreakHyphen/>
                <w:t>14(b).</w:t>
              </w:r>
            </w:hyperlink>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left"/>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1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pPr>
            <w:r>
              <w:rPr/>
              <w:t> </w:t>
            </w:r>
          </w:p>
        </w:tc>
      </w:tr>
      <w:tr>
        <w:trPr/>
        <w:tc>
          <w:tcPr>
            <w:tcW w:w="7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5914"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146" w:type="dxa"/>
            <w:tcBorders/>
            <w:shd w:fill="auto" w:val="clear"/>
            <w:vAlign w:val="center"/>
          </w:tcPr>
          <w:p>
            <w:pPr>
              <w:pStyle w:val="TableContents"/>
              <w:spacing w:before="0" w:after="0"/>
              <w:ind w:left="0" w:right="0" w:hanging="0"/>
              <w:jc w:val="center"/>
              <w:rPr/>
            </w:pPr>
            <w:r>
              <w:rPr/>
              <w:t> </w:t>
            </w:r>
          </w:p>
        </w:tc>
        <w:tc>
          <w:tcPr>
            <w:tcW w:w="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before="12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9" w:type="dxa"/>
            <w:tcBorders/>
            <w:shd w:fill="auto" w:val="clear"/>
            <w:vAlign w:val="center"/>
          </w:tcPr>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Heading5"/>
        <w:jc w:val="left"/>
        <w:rPr/>
      </w:pPr>
      <w:hyperlink w:anchor="toc_page">
        <w:r>
          <w:rPr>
            <w:rStyle w:val="InternetLink"/>
            <w:rFonts w:ascii="Times New Roman;serif" w:hAnsi="Times New Roman;serif"/>
            <w:sz w:val="20"/>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9172" w:type="dxa"/>
        <w:jc w:val="left"/>
        <w:tblInd w:w="0" w:type="dxa"/>
        <w:tblCellMar>
          <w:top w:w="28" w:type="dxa"/>
          <w:left w:w="28" w:type="dxa"/>
          <w:bottom w:w="28" w:type="dxa"/>
          <w:right w:w="28" w:type="dxa"/>
        </w:tblCellMar>
      </w:tblPr>
      <w:tblGrid>
        <w:gridCol w:w="1741"/>
        <w:gridCol w:w="109"/>
        <w:gridCol w:w="406"/>
        <w:gridCol w:w="691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91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32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Corsair Gaming, Inc.</w:t>
            </w:r>
          </w:p>
          <w:p>
            <w:pPr>
              <w:pStyle w:val="TableContents"/>
              <w:spacing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69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G. Potter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Michael G. Potter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9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 Treasurer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(Authorized Officer, Principal Financial Officer and Principal Accounting Officer)</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r>
        <w:br w:type="page"/>
      </w:r>
    </w:p>
    <w:p>
      <w:pPr>
        <w:pStyle w:val="TextBody"/>
        <w:spacing w:before="0" w:after="0"/>
        <w:jc w:val="left"/>
        <w:rPr/>
      </w:pPr>
      <w:bookmarkStart w:id="23" w:name="crsr-ex31_1.htm"/>
      <w:bookmarkStart w:id="24" w:name="kscrsrex31_1"/>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Andrew J. Paul,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Corsair Gaming,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762" w:type="dxa"/>
        <w:jc w:val="left"/>
        <w:tblInd w:w="0" w:type="dxa"/>
        <w:tblCellMar>
          <w:top w:w="28" w:type="dxa"/>
          <w:left w:w="28" w:type="dxa"/>
          <w:bottom w:w="28" w:type="dxa"/>
          <w:right w:w="28" w:type="dxa"/>
        </w:tblCellMar>
      </w:tblPr>
      <w:tblGrid>
        <w:gridCol w:w="1741"/>
        <w:gridCol w:w="109"/>
        <w:gridCol w:w="406"/>
        <w:gridCol w:w="250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Andrew J. Paul</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Andrew J. Paul</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crsr-ex31_2.htm"/>
      <w:bookmarkStart w:id="26" w:name="kscrsrex31_2"/>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Michael G. Potter,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Corsair Gaming,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p>
      <w:pPr>
        <w:pStyle w:val="TextBody"/>
        <w:spacing w:before="0" w:after="0"/>
        <w:jc w:val="left"/>
        <w:rPr/>
      </w:pPr>
      <w:r>
        <w:rPr/>
        <w:t> </w:t>
      </w:r>
    </w:p>
    <w:tbl>
      <w:tblPr>
        <w:tblW w:w="7567" w:type="dxa"/>
        <w:jc w:val="left"/>
        <w:tblInd w:w="0" w:type="dxa"/>
        <w:tblCellMar>
          <w:top w:w="28" w:type="dxa"/>
          <w:left w:w="28" w:type="dxa"/>
          <w:bottom w:w="28" w:type="dxa"/>
          <w:right w:w="28" w:type="dxa"/>
        </w:tblCellMar>
      </w:tblPr>
      <w:tblGrid>
        <w:gridCol w:w="1741"/>
        <w:gridCol w:w="109"/>
        <w:gridCol w:w="406"/>
        <w:gridCol w:w="531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G. Potter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Michael G. Potter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crsr-ex32_1.htm"/>
      <w:bookmarkStart w:id="28" w:name="kscrsrex32_1"/>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CERTIFICATIONS OF CHIEF EXECUTIVE OFFICER AND CHIEF FINANCIAL OFFICER</w:t>
      </w:r>
    </w:p>
    <w:p>
      <w:pPr>
        <w:pStyle w:val="TextBody"/>
        <w:spacing w:before="360" w:after="0"/>
        <w:jc w:val="center"/>
        <w:rPr>
          <w:rFonts w:ascii="Times New Roman;serif" w:hAnsi="Times New Roman;serif"/>
          <w:b/>
          <w:sz w:val="20"/>
        </w:rPr>
      </w:pPr>
      <w:r>
        <w:rPr>
          <w:rFonts w:ascii="Times New Roman;serif" w:hAnsi="Times New Roman;serif"/>
          <w:b/>
          <w:sz w:val="20"/>
        </w:rPr>
        <w:t>PURSUANT TO 18 U.S.C. SECTION 1350</w:t>
      </w:r>
    </w:p>
    <w:p>
      <w:pPr>
        <w:pStyle w:val="TextBody"/>
        <w:spacing w:before="36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of Corsair Gaming, Inc. (the “Company”) on Form 10-Q for the quarter ended March 31, 2023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spacing w:before="0" w:after="0"/>
        <w:jc w:val="left"/>
        <w:rPr/>
      </w:pPr>
      <w:r>
        <w:rPr/>
        <w:t> </w:t>
      </w:r>
    </w:p>
    <w:tbl>
      <w:tblPr>
        <w:tblW w:w="4762" w:type="dxa"/>
        <w:jc w:val="left"/>
        <w:tblInd w:w="0" w:type="dxa"/>
        <w:tblCellMar>
          <w:top w:w="28" w:type="dxa"/>
          <w:left w:w="28" w:type="dxa"/>
          <w:bottom w:w="28" w:type="dxa"/>
          <w:right w:w="28" w:type="dxa"/>
        </w:tblCellMar>
      </w:tblPr>
      <w:tblGrid>
        <w:gridCol w:w="1741"/>
        <w:gridCol w:w="109"/>
        <w:gridCol w:w="406"/>
        <w:gridCol w:w="250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Andrew J. Paul</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Andrew J. Paul</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7567" w:type="dxa"/>
        <w:jc w:val="left"/>
        <w:tblInd w:w="0" w:type="dxa"/>
        <w:tblCellMar>
          <w:top w:w="28" w:type="dxa"/>
          <w:left w:w="28" w:type="dxa"/>
          <w:bottom w:w="28" w:type="dxa"/>
          <w:right w:w="28" w:type="dxa"/>
        </w:tblCellMar>
      </w:tblPr>
      <w:tblGrid>
        <w:gridCol w:w="1741"/>
        <w:gridCol w:w="109"/>
        <w:gridCol w:w="406"/>
        <w:gridCol w:w="531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G. Potter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Michael G. Potter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759/000119312520254569/d65933dex31.htm" TargetMode="External"/><Relationship Id="rId3" Type="http://schemas.openxmlformats.org/officeDocument/2006/relationships/hyperlink" Target="https://www.sec.gov/Archives/edgar/data/1743759/000119312520254569/d65933dex32.htm" TargetMode="External"/><Relationship Id="rId4" Type="http://schemas.openxmlformats.org/officeDocument/2006/relationships/hyperlink" Target="https://www.sec.gov/Archives/edgar/data/1743759/000119312520248527/d507744dex42.htm" TargetMode="External"/><Relationship Id="rId5" Type="http://schemas.openxmlformats.org/officeDocument/2006/relationships/hyperlink" Target="https://www.sec.gov/Archives/edgar/data/1743759/000156459020052867/crsr-ex42_448.htm" TargetMode="External"/><Relationship Id="rId6" Type="http://schemas.openxmlformats.org/officeDocument/2006/relationships/hyperlink" Target="https://www.sec.gov/Archives/edgar/data/0001743759/000156459021012507/crsr-ex43_1280.htm" TargetMode="External"/><Relationship Id="rId7" Type="http://schemas.openxmlformats.org/officeDocument/2006/relationships/hyperlink" Target="https://www.sec.gov/Archives/edgar/data/0001743759/000119312520244634/d507744dex4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18528</Words>
  <CharactersWithSpaces>121675</CharactersWithSpaces>
  <Paragraphs>5856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