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rsr-20250331.htm"/>
        <w:bookmarkStart w:id="1" w:name="kscrsr20250331"/>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4"/>
        </w:rPr>
      </w:pPr>
      <w:r>
        <w:rPr>
          <w:rFonts w:ascii="Times New Roman" w:hAnsi="Times New Roman"/>
          <w:b/>
          <w:color w:val="000000"/>
          <w:sz w:val="14"/>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quarterly period ended March 31, 2025</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center"/>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transition period from _________ to _________</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001-39533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Corsair Gaming,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107" w:type="dxa"/>
        <w:jc w:val="left"/>
        <w:tblInd w:w="0" w:type="dxa"/>
        <w:tblLayout w:type="fixed"/>
        <w:tblCellMar>
          <w:top w:w="28" w:type="dxa"/>
          <w:left w:w="28" w:type="dxa"/>
          <w:bottom w:w="28" w:type="dxa"/>
          <w:right w:w="28" w:type="dxa"/>
        </w:tblCellMar>
      </w:tblPr>
      <w:tblGrid>
        <w:gridCol w:w="1891"/>
        <w:gridCol w:w="1216"/>
      </w:tblGrid>
      <w:tr>
        <w:trPr/>
        <w:tc>
          <w:tcPr>
            <w:tcW w:w="189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82-2335306</w:t>
            </w:r>
          </w:p>
        </w:tc>
      </w:tr>
      <w:tr>
        <w:trPr/>
        <w:tc>
          <w:tcPr>
            <w:tcW w:w="18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bl>
    <w:p>
      <w:pPr>
        <w:pStyle w:val="TextBody"/>
        <w:bidi w:val="0"/>
        <w:jc w:val="center"/>
        <w:rPr/>
      </w:pPr>
      <w:r>
        <w:rPr/>
        <w:t> </w:t>
      </w:r>
    </w:p>
    <w:tbl>
      <w:tblPr>
        <w:tblW w:w="3315" w:type="dxa"/>
        <w:jc w:val="left"/>
        <w:tblInd w:w="0" w:type="dxa"/>
        <w:tblLayout w:type="fixed"/>
        <w:tblCellMar>
          <w:top w:w="28" w:type="dxa"/>
          <w:left w:w="28" w:type="dxa"/>
          <w:bottom w:w="28" w:type="dxa"/>
          <w:right w:w="28" w:type="dxa"/>
        </w:tblCellMar>
      </w:tblPr>
      <w:tblGrid>
        <w:gridCol w:w="1515"/>
        <w:gridCol w:w="1800"/>
      </w:tblGrid>
      <w:tr>
        <w:trPr/>
        <w:tc>
          <w:tcPr>
            <w:tcW w:w="151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3315" w:type="dxa"/>
            <w:gridSpan w:val="2"/>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115 N. McCarthy Boulevard</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Milpitas, CA</w:t>
            </w:r>
            <w:r>
              <w:rPr>
                <w:rFonts w:ascii="Times New Roman" w:hAnsi="Times New Roman"/>
                <w:color w:val="000000"/>
                <w:sz w:val="20"/>
              </w:rPr>
              <w:t xml:space="preserve"> </w:t>
            </w:r>
            <w:r>
              <w:rPr>
                <w:rFonts w:ascii="Times New Roman" w:hAnsi="Times New Roman"/>
                <w:b/>
                <w:color w:val="000000"/>
                <w:sz w:val="20"/>
              </w:rPr>
              <w:t>95035</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 and zip code)</w:t>
            </w:r>
          </w:p>
        </w:tc>
      </w:tr>
      <w:tr>
        <w:trPr/>
        <w:tc>
          <w:tcPr>
            <w:tcW w:w="1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0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(510) 657-8747</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(Registrant’s Telephone Number, Including Area Code)</w:t>
            </w:r>
          </w:p>
        </w:tc>
      </w:tr>
    </w:tbl>
    <w:p>
      <w:pPr>
        <w:pStyle w:val="TextBody"/>
        <w:bidi w:val="0"/>
        <w:jc w:val="center"/>
        <w:rPr/>
      </w:pPr>
      <w:r>
        <w:rPr/>
        <w:t>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color w:val="000000"/>
          <w:sz w:val="14"/>
        </w:rPr>
      </w:pPr>
      <w:r>
        <w:rPr>
          <w:rFonts w:ascii="Times New Roman" w:hAnsi="Times New Roman"/>
          <w:color w:val="000000"/>
          <w:sz w:val="14"/>
        </w:rPr>
        <w:t>(Former name, former address and former fiscal year,</w:t>
      </w:r>
    </w:p>
    <w:p>
      <w:pPr>
        <w:pStyle w:val="TextBody"/>
        <w:bidi w:val="0"/>
        <w:jc w:val="center"/>
        <w:rPr>
          <w:rFonts w:ascii="Times New Roman" w:hAnsi="Times New Roman"/>
          <w:color w:val="000000"/>
          <w:sz w:val="14"/>
        </w:rPr>
      </w:pPr>
      <w:r>
        <w:rPr>
          <w:rFonts w:ascii="Times New Roman" w:hAnsi="Times New Roman"/>
          <w:color w:val="000000"/>
          <w:sz w:val="14"/>
        </w:rPr>
        <w:t>if changed since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286"/>
        <w:gridCol w:w="146"/>
        <w:gridCol w:w="1231"/>
        <w:gridCol w:w="146"/>
        <w:gridCol w:w="27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286"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CRSR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April 25, 2025, the registrant had 105,821,145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ia_risk_factor">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ABOUT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on Form 10-Q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the recent changes in tariffs. We believe that these factors include but are not limited to those described under Part I, Item 1A “Risk Factors” of our Annual Report on Form 10-K for the year ended December 31, 2024, as well as other documents that may be filed by us from time to time with the Securities and Exchange Commission (the “SEC”).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2"/>
        <w:gridCol w:w="146"/>
        <w:gridCol w:w="211"/>
        <w:gridCol w:w="781"/>
        <w:gridCol w:w="166"/>
        <w:gridCol w:w="146"/>
        <w:gridCol w:w="211"/>
        <w:gridCol w:w="781"/>
        <w:gridCol w:w="411"/>
      </w:tblGrid>
      <w:tr>
        <w:trPr/>
        <w:tc>
          <w:tcPr>
            <w:tcW w:w="7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Calculation of net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 of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2"/>
        <w:gridCol w:w="146"/>
        <w:gridCol w:w="211"/>
        <w:gridCol w:w="736"/>
        <w:gridCol w:w="166"/>
        <w:gridCol w:w="146"/>
        <w:gridCol w:w="211"/>
        <w:gridCol w:w="736"/>
        <w:gridCol w:w="311"/>
      </w:tblGrid>
      <w:tr>
        <w:trPr/>
        <w:tc>
          <w:tcPr>
            <w:tcW w:w="7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5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 net of tax benefit of $27 and $124 for the three months ended March 31, 2025 and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5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foreign exchange gain from long-term intercompany loan, net of tax benefit of nil and $160 for the three months ended March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5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5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loss attributable to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72"/>
        <w:gridCol w:w="146"/>
        <w:gridCol w:w="211"/>
        <w:gridCol w:w="931"/>
        <w:gridCol w:w="166"/>
        <w:gridCol w:w="146"/>
        <w:gridCol w:w="211"/>
        <w:gridCol w:w="931"/>
        <w:gridCol w:w="491"/>
      </w:tblGrid>
      <w:tr>
        <w:trPr/>
        <w:tc>
          <w:tcPr>
            <w:tcW w:w="6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107,011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218,648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259,979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623,388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354,222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1,235,829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maturing within one year,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616,377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Temporary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5,000 shares authorized, nil and nil shares issued and outstanding as of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300,000 shares authorized, 105,816 and 104,763 shares issued and outstanding as of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667,617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604,303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temporary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1,239,457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1,235,829</w:t>
            </w:r>
          </w:p>
        </w:tc>
        <w:tc>
          <w:tcPr>
            <w:tcW w:w="4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76"/>
        <w:gridCol w:w="149"/>
        <w:gridCol w:w="149"/>
        <w:gridCol w:w="149"/>
        <w:gridCol w:w="149"/>
        <w:gridCol w:w="146"/>
        <w:gridCol w:w="146"/>
        <w:gridCol w:w="691"/>
        <w:gridCol w:w="166"/>
        <w:gridCol w:w="146"/>
        <w:gridCol w:w="271"/>
        <w:gridCol w:w="480"/>
        <w:gridCol w:w="146"/>
        <w:gridCol w:w="146"/>
        <w:gridCol w:w="205"/>
        <w:gridCol w:w="726"/>
        <w:gridCol w:w="166"/>
        <w:gridCol w:w="146"/>
        <w:gridCol w:w="257"/>
        <w:gridCol w:w="869"/>
        <w:gridCol w:w="166"/>
        <w:gridCol w:w="146"/>
        <w:gridCol w:w="337"/>
        <w:gridCol w:w="985"/>
        <w:gridCol w:w="166"/>
        <w:gridCol w:w="146"/>
        <w:gridCol w:w="257"/>
        <w:gridCol w:w="910"/>
        <w:gridCol w:w="313"/>
      </w:tblGrid>
      <w:tr>
        <w:trPr/>
        <w:tc>
          <w:tcPr>
            <w:tcW w:w="14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2024</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604,303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72" w:type="dxa"/>
            <w:gridSpan w:val="5"/>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72" w:type="dxa"/>
            <w:gridSpan w:val="5"/>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680,016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608,757</w:t>
            </w:r>
          </w:p>
        </w:tc>
        <w:tc>
          <w:tcPr>
            <w:tcW w:w="3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1952" w:type="dxa"/>
        <w:jc w:val="left"/>
        <w:tblInd w:w="0" w:type="dxa"/>
        <w:tblLayout w:type="fixed"/>
        <w:tblCellMar>
          <w:top w:w="28" w:type="dxa"/>
          <w:left w:w="28" w:type="dxa"/>
          <w:bottom w:w="28" w:type="dxa"/>
          <w:right w:w="28" w:type="dxa"/>
        </w:tblCellMar>
      </w:tblPr>
      <w:tblGrid>
        <w:gridCol w:w="1286"/>
        <w:gridCol w:w="146"/>
        <w:gridCol w:w="146"/>
        <w:gridCol w:w="691"/>
        <w:gridCol w:w="166"/>
        <w:gridCol w:w="146"/>
        <w:gridCol w:w="271"/>
        <w:gridCol w:w="480"/>
        <w:gridCol w:w="146"/>
        <w:gridCol w:w="146"/>
        <w:gridCol w:w="205"/>
        <w:gridCol w:w="726"/>
        <w:gridCol w:w="166"/>
        <w:gridCol w:w="146"/>
        <w:gridCol w:w="196"/>
        <w:gridCol w:w="661"/>
        <w:gridCol w:w="166"/>
        <w:gridCol w:w="146"/>
        <w:gridCol w:w="333"/>
        <w:gridCol w:w="973"/>
        <w:gridCol w:w="166"/>
        <w:gridCol w:w="146"/>
        <w:gridCol w:w="245"/>
        <w:gridCol w:w="866"/>
        <w:gridCol w:w="166"/>
        <w:gridCol w:w="146"/>
        <w:gridCol w:w="321"/>
        <w:gridCol w:w="985"/>
        <w:gridCol w:w="166"/>
        <w:gridCol w:w="146"/>
        <w:gridCol w:w="209"/>
        <w:gridCol w:w="737"/>
        <w:gridCol w:w="311"/>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Nonredeemable</w:t>
              <w:b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Permanent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Interest</w:t>
            </w:r>
            <w:r>
              <w:rPr>
                <w:rFonts w:ascii="Times New Roman" w:hAnsi="Times New Roman"/>
                <w:b/>
                <w:color w:val="000000"/>
                <w:sz w:val="12"/>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Equity</w:t>
            </w:r>
            <w:r>
              <w:rPr>
                <w:rFonts w:ascii="Times New Roman" w:hAnsi="Times New Roman"/>
                <w:b/>
                <w:color w:val="000000"/>
                <w:sz w:val="12"/>
              </w:rPr>
              <w:t>(1)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678,043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Dividend paid to nonredeemable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673,326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nonredeemable noncontrolling interest as of March 31, 2024, represented 20% interest in iDisplay that was not acquired by Corsair at the time. On July 1, 2024, Corsair acquired this 20% nonredeemable noncontrolling interest via a Share Purchase Amendment Agreement (the “SPAA”) with the iDisplay Seller (refer to Note 14, Redeemable Noncontrolling Interest for further details on the SPAA).</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Corsair Gaming, Inc.</w:t>
      </w:r>
    </w:p>
    <w:p>
      <w:pPr>
        <w:pStyle w:val="TextBody"/>
        <w:bidi w:val="0"/>
        <w:jc w:val="center"/>
        <w:rPr>
          <w:rFonts w:ascii="Times New Roman" w:hAnsi="Times New Roman"/>
          <w:b/>
          <w:color w:val="000000"/>
          <w:sz w:val="18"/>
        </w:rPr>
      </w:pPr>
      <w:bookmarkStart w:id="9" w:name="condensed_consolidated_statements_cash_f"/>
      <w:bookmarkEnd w:id="9"/>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(Unaudited, in thousands)</w:t>
      </w:r>
    </w:p>
    <w:tbl>
      <w:tblPr>
        <w:tblW w:w="10139" w:type="dxa"/>
        <w:jc w:val="left"/>
        <w:tblInd w:w="0" w:type="dxa"/>
        <w:tblLayout w:type="fixed"/>
        <w:tblCellMar>
          <w:top w:w="28" w:type="dxa"/>
          <w:left w:w="28" w:type="dxa"/>
          <w:bottom w:w="28" w:type="dxa"/>
          <w:right w:w="28" w:type="dxa"/>
        </w:tblCellMar>
      </w:tblPr>
      <w:tblGrid>
        <w:gridCol w:w="7186"/>
        <w:gridCol w:w="146"/>
        <w:gridCol w:w="211"/>
        <w:gridCol w:w="781"/>
        <w:gridCol w:w="166"/>
        <w:gridCol w:w="146"/>
        <w:gridCol w:w="211"/>
        <w:gridCol w:w="781"/>
        <w:gridCol w:w="511"/>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Reversal of bargain purchase gain on business acquisition recognized in prior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price adjustment related to business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Repayment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 of deferred and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shares through employee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 of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paid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178,564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Equipment purchased and unpaid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Corsair Gaming, Inc., a Delaware corporation, together with its subsidiaries (collectively, “Corsair” the “Company”, “we”, “us”, or “our”), is a global provider and innovator of high-performance products for gamers and digital creators, many of which build their own PCs using our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Corsair is organized into two reportable segments: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Gamer and Creator Peripherals</w:t>
      </w:r>
      <w:r>
        <w:rPr>
          <w:rFonts w:ascii="Times New Roman" w:hAnsi="Times New Roman"/>
          <w:color w:val="000000"/>
          <w:sz w:val="20"/>
        </w:rPr>
        <w:t>. Includes our high-performance gaming keyboards, mice, headsets, controllers, and our streaming products, which includes capture cards, Stream Decks, microphones and audio interfaces, our Facecam streaming cameras, studio accessories, sim racing products,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Gaming Components and Systems</w:t>
      </w:r>
      <w:r>
        <w:rPr>
          <w:rFonts w:ascii="Times New Roman" w:hAnsi="Times New Roman"/>
          <w:color w:val="000000"/>
          <w:sz w:val="20"/>
        </w:rPr>
        <w:t>. Includes our high-performance power supply units, cooling solutions, computer cases, DRAM modules, as well as high-end prebuilt and custom-built gaming PCs and laptops, and gaming monitors, among others.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2024 which was filed with the SEC on February 26,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December 31, 2024,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2024, included in our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March 31, 2025 and our results of operations for the three months ended March 31, 2025 and 2024. The results for the three months ended March 31, 2025 are not necessarily indicative of the results expected for the current fiscal year or any other future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 The ownership interest of other investors is recorded as noncontrolling interest in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These estimates and assumptions are based on management’s best estimates and judgment. Management evaluates its estimates and assumptions on an ongoing basis using historical experience and other factors, including the potential impacts from the events in the current economic and geopolitical environment. We adjust such estimates and assumptions when facts and circumstances dictate. The extent to which the current macroeconomic conditions and the development of the geopolitical unrest will impact our business going forward depends on numerous dynamic factors that we cannot reliably predict. Actual results could differ materially from those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cash flows.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ASU No. 2023-07, Segment Reporting (Topic 280) - Improvement to Reportable Segment Disclosure. This ASU updates the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was effective for annual periods beginning after December 15, 2023, and interim periods within fiscal years beginning after December 15, 2024. We adopted this standard in the fourth quarter of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Issued but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 Improvements to Income Tax Disclosures. This ASU requires disaggregated information about a reporting entity's effective tax rate reconciliation as well as additional information on income tax paid. The ASU is effective on a prospective basis for annual periods beginning after December 15, 2024, with early adoption permitted. This ASU will result in additional required disclosures in our consolidated financial statements, when adopted. We are currently evaluating the provisions of this ASU and expect to adopt them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(Topic 220) - Reporting Comprehensive Income - Expense Disaggregation Disclosures: Disaggregation of Income Statement Expenses. This ASU requires additional disclosures about the nature of expenses included in the income statement, such as purchases of inventory, employee compensation and depreciation. This ASU 2024-03 is effective for annual periods beginning after December 15, 2026 and interim reporting periods beginning after December 15, 2027, with early adoption permitted. We are currently evaluating the provisions of this ASU and expect to adopt them for the year ended December 31, 2027.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enter into derivative instruments such as foreign currency forward contracts, to minimize the short-term impact of foreign currency exchange rate fluctuations on certain foreign currency denominated assets and liabilities.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currency forward contracts generally mature within two to four months. The notional principal amount of outstanding foreign exchange forward contracts was $33.6 million and $35.2 million as of March 31, 2025 and December 31, 2024, respectively. The net fair value gains (losses) recognized in other expense, net in relation to these derivative instruments was $(1.7) million and $0.6 million for the three months ended March 31, 2025 and 2024,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Business Combinations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Fanatec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13, 2024, one of our subsidiaries, Corsair GmbH (“GmbH”) executed an Asset Purchase Agreement (“APA”) to purchase the business (the “Fanatec Business”) of Endor AG (“Endor”), which includes certain assets and all the personnel of Endor, as well as the equity interests of certain of Endor’s subsidiaries. Endor AG was a German public entity that created the leading end-to-end premium Fanatec sim racing product line. The Fanatec sim racing product line, which fully complements our sim racing chassis, gaming PCs, gaming and streaming peripherals, and monitors, will expand our product offerings in these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Fanatec APA was consummated on September 19, 2024 (the “Fanatec Acquisition Date”) for a cash purchase consideration of approximately $43.7 million, net of $4.5 million of cash acquired.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Fanatec acquisition, another of our subsidiaries, Corsair Components Ltd (“CCL”), entered into a Bridge Loan Agreement (“Bridge Loan”) in May 2024 and a Debtor-In-Possession Loan Agreement (“DIP Loan”) in September 2024 with Endor to provide short-term financing for Endor's operations in connection with our intent to acquire the Fanatec Business through a German restructuring process. Pursuant to the terms of the APA, the total principal and interest owed by Endor to CCL as of the Fanatec Acquisition Date for the Bridge Loan and DIP Loan of approximately $16.6 million, in aggregate, was set-off against the purchase price, and accordingly, on the Fanatec Acquisition Date, GmbH paid CCL $16.6 million cash to settle the Bridge Loan and DIP Loan (including interest of $0.6 million), on behalf of Endor. GmbH paid the remaining $31.6 million purchase consideration to Endor in cash on the Fanatec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Fanatec acquisition met the definition of a business, it has been accounted for as a business combination using the acquisition method of accounting. Fanatec’s results of operations are included in our condensed consolidated statements of operations with effect from September 19,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preliminary allocation of the purchase consideration to the estimated fair value of the assets acquired and liabilities assumed as of the Fanatec Acquisition Date with measurement period adjustments through March 31, 2025. The primary areas of the purchase price allocation that are not yet finalized consist of income tax and indirect tax considerations and the validation of certain prepaids and other assets and inventory values. We will continue to reflect measurement period adjustments to purchase price allocation, if any, in the period in which the adjustments are recognized. Final determination of the fair values may result in adjustments to the values presented in the following table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36"/>
        <w:gridCol w:w="146"/>
        <w:gridCol w:w="581"/>
        <w:gridCol w:w="1864"/>
        <w:gridCol w:w="246"/>
        <w:gridCol w:w="246"/>
        <w:gridCol w:w="431"/>
        <w:gridCol w:w="1295"/>
        <w:gridCol w:w="266"/>
        <w:gridCol w:w="246"/>
        <w:gridCol w:w="530"/>
        <w:gridCol w:w="1704"/>
        <w:gridCol w:w="314"/>
      </w:tblGrid>
      <w:tr>
        <w:trPr/>
        <w:tc>
          <w:tcPr>
            <w:tcW w:w="2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Preliminary Purchase Price Allocation as of Acquisition Date</w:t>
            </w:r>
            <w:r>
              <w:rPr>
                <w:rFonts w:ascii="Times New Roman" w:hAnsi="Times New Roman"/>
                <w:color w:val="000000"/>
                <w:sz w:val="16"/>
              </w:rPr>
              <w:t> </w:t>
            </w:r>
            <w:r>
              <w:rPr>
                <w:rFonts w:ascii="Times New Roman" w:hAnsi="Times New Roman"/>
                <w:b/>
                <w:color w:val="000000"/>
                <w:sz w:val="11"/>
              </w:rPr>
              <w:t>(1)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Measurement Period Adjustments </w:t>
            </w:r>
            <w:r>
              <w:rPr>
                <w:rFonts w:ascii="Times New Roman" w:hAnsi="Times New Roman"/>
                <w:b/>
                <w:color w:val="000000"/>
                <w:sz w:val="11"/>
              </w:rPr>
              <w:t>(2)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Recognized as of Acquisition Date (as adjusted)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identified 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43,723</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consideration,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43,723</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As previously reported in our Annual Report on Form 10-K for the year ended December 31, 2024.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Measurement period adjustments recorded during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working capital related items, as well as the fair value of property and equipment approximated their book values at the Fanatec Acquisition Date. The fair value of the inventories was estimated by major category, at an estimate of net realizable value, which we believe approximates the price a market participant could achieve in a current sale. The difference between the fair value of the inventories and the book value recorded on the Fanatec Acquisition Date was $5.3 million, of which we recognized $0.5 million and $4.7 million in “cost of revenue” in our condensed consolidated statements of operations for the quarter ended March 31, 2025 and for the year ended December 31, 2024, upon the sale of the acquired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goodwill of $0.3 million represents the expansion of our market presence by utilizing Fanatec's strength and brand in the sim racing market. The goodwill is deductible for tax purposes and is assigned to our Peripherals reporting unit.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$15.1 million identifiable intangible assets acquired include trade name of $11.3 million and product technology of $3.8 million. The fair values of the identified intangible assets were estimated primarily using the income approach and were based on inputs that are not observable in the market which we consider to be Level 3 inputs. These intangible assets are being amortized over their estimated useful lives, ranging from 6 to 15 years, using the straight-line method of amortization. The identifiable intangible assets acquired are deductible for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acquisition-related costs incurred in the three months ended March 31, 2025 and in the year ended December 31, 2024 were $0.1 million and $2.7 million, respectively, and these amounts are included in sales and general and administrative expenses in the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Unaudited Pro Forma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 forma information is not included because the effects of the Fanatec Acquisition were not material to our condensed consolidated statements of operations for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changes in the carrying amount of goodwill by reportable segment (in thousands):</w:t>
      </w:r>
    </w:p>
    <w:tbl>
      <w:tblPr>
        <w:tblW w:w="7947" w:type="dxa"/>
        <w:jc w:val="left"/>
        <w:tblInd w:w="0" w:type="dxa"/>
        <w:tblLayout w:type="fixed"/>
        <w:tblCellMar>
          <w:top w:w="28" w:type="dxa"/>
          <w:left w:w="28" w:type="dxa"/>
          <w:bottom w:w="28" w:type="dxa"/>
          <w:right w:w="28" w:type="dxa"/>
        </w:tblCellMar>
      </w:tblPr>
      <w:tblGrid>
        <w:gridCol w:w="3536"/>
        <w:gridCol w:w="146"/>
        <w:gridCol w:w="213"/>
        <w:gridCol w:w="793"/>
        <w:gridCol w:w="246"/>
        <w:gridCol w:w="246"/>
        <w:gridCol w:w="211"/>
        <w:gridCol w:w="781"/>
        <w:gridCol w:w="246"/>
        <w:gridCol w:w="246"/>
        <w:gridCol w:w="211"/>
        <w:gridCol w:w="781"/>
        <w:gridCol w:w="291"/>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w:t>
              <w:br/>
              <w:t>Components</w:t>
              <w:br/>
              <w:t>and</w:t>
              <w:br/>
              <w:t>Systems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w:t>
              <w:br/>
              <w:t>Creator</w:t>
              <w:br/>
              <w:t>Peripherals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205,347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354,222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Measurement period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148,887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206,115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355,002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is a summary of intangible assets, net (in thousands):</w:t>
      </w:r>
    </w:p>
    <w:tbl>
      <w:tblPr>
        <w:tblW w:w="10205" w:type="dxa"/>
        <w:jc w:val="left"/>
        <w:tblInd w:w="0" w:type="dxa"/>
        <w:tblLayout w:type="fixed"/>
        <w:tblCellMar>
          <w:top w:w="28" w:type="dxa"/>
          <w:left w:w="28" w:type="dxa"/>
          <w:bottom w:w="28" w:type="dxa"/>
          <w:right w:w="28" w:type="dxa"/>
        </w:tblCellMar>
      </w:tblPr>
      <w:tblGrid>
        <w:gridCol w:w="2224"/>
        <w:gridCol w:w="211"/>
        <w:gridCol w:w="781"/>
        <w:gridCol w:w="146"/>
        <w:gridCol w:w="146"/>
        <w:gridCol w:w="229"/>
        <w:gridCol w:w="852"/>
        <w:gridCol w:w="146"/>
        <w:gridCol w:w="146"/>
        <w:gridCol w:w="211"/>
        <w:gridCol w:w="781"/>
        <w:gridCol w:w="146"/>
        <w:gridCol w:w="146"/>
        <w:gridCol w:w="211"/>
        <w:gridCol w:w="781"/>
        <w:gridCol w:w="146"/>
        <w:gridCol w:w="146"/>
        <w:gridCol w:w="229"/>
        <w:gridCol w:w="852"/>
        <w:gridCol w:w="146"/>
        <w:gridCol w:w="146"/>
        <w:gridCol w:w="211"/>
        <w:gridCol w:w="781"/>
        <w:gridCol w:w="391"/>
      </w:tblGrid>
      <w:tr>
        <w:trPr/>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portfolio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relationships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finite-life intangibles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 life trade name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when an identified intangible asset becomes fully amortized, the fully amortized balances from the gross asset and accumulated amortization amounts are removed from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future amortization expense of intangible assets as of March 31, 2025 is as follows (in thousands):</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Balance Sheet Components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tables present the components of certain balance sheet amounts (in thousands):</w:t>
      </w:r>
    </w:p>
    <w:p>
      <w:pPr>
        <w:pStyle w:val="TextBody"/>
        <w:bidi w:val="0"/>
        <w:jc w:val="left"/>
        <w:rPr/>
      </w:pPr>
      <w:r>
        <w:rPr/>
        <w:t> </w:t>
      </w:r>
    </w:p>
    <w:tbl>
      <w:tblPr>
        <w:tblW w:w="5622" w:type="dxa"/>
        <w:jc w:val="left"/>
        <w:tblInd w:w="0" w:type="dxa"/>
        <w:tblLayout w:type="fixed"/>
        <w:tblCellMar>
          <w:top w:w="28" w:type="dxa"/>
          <w:left w:w="28" w:type="dxa"/>
          <w:bottom w:w="28" w:type="dxa"/>
          <w:right w:w="28" w:type="dxa"/>
        </w:tblCellMar>
      </w:tblPr>
      <w:tblGrid>
        <w:gridCol w:w="2706"/>
        <w:gridCol w:w="146"/>
        <w:gridCol w:w="211"/>
        <w:gridCol w:w="781"/>
        <w:gridCol w:w="146"/>
        <w:gridCol w:w="146"/>
        <w:gridCol w:w="233"/>
        <w:gridCol w:w="862"/>
        <w:gridCol w:w="391"/>
      </w:tblGrid>
      <w:tr>
        <w:trPr/>
        <w:tc>
          <w:tcPr>
            <w:tcW w:w="2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cash—short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5732" w:type="dxa"/>
        <w:jc w:val="left"/>
        <w:tblInd w:w="0" w:type="dxa"/>
        <w:tblLayout w:type="fixed"/>
        <w:tblCellMar>
          <w:top w:w="28" w:type="dxa"/>
          <w:left w:w="28" w:type="dxa"/>
          <w:bottom w:w="28" w:type="dxa"/>
          <w:right w:w="28" w:type="dxa"/>
        </w:tblCellMar>
      </w:tblPr>
      <w:tblGrid>
        <w:gridCol w:w="2776"/>
        <w:gridCol w:w="146"/>
        <w:gridCol w:w="211"/>
        <w:gridCol w:w="781"/>
        <w:gridCol w:w="166"/>
        <w:gridCol w:w="146"/>
        <w:gridCol w:w="233"/>
        <w:gridCol w:w="862"/>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sz w:val="20"/>
        </w:rPr>
      </w:pPr>
      <w:r>
        <w:rPr>
          <w:rFonts w:ascii="Times New Roman" w:hAnsi="Times New Roman"/>
          <w:color w:val="000000"/>
          <w:sz w:val="19"/>
        </w:rPr>
        <w:t>As of March 31, 2025, two</w:t>
      </w:r>
      <w:r>
        <w:rPr>
          <w:rFonts w:ascii="Times New Roman" w:hAnsi="Times New Roman"/>
          <w:color w:val="000000"/>
          <w:sz w:val="20"/>
        </w:rPr>
        <w:t xml:space="preserve"> </w:t>
      </w:r>
      <w:r>
        <w:rPr>
          <w:rFonts w:ascii="Times New Roman" w:hAnsi="Times New Roman"/>
          <w:color w:val="000000"/>
          <w:sz w:val="19"/>
        </w:rPr>
        <w:t>customers represented 44.5% and 15.7% of our accounts receivable, net balance, respectively. As of December 31, 2024, two</w:t>
      </w:r>
      <w:r>
        <w:rPr>
          <w:rFonts w:ascii="Times New Roman" w:hAnsi="Times New Roman"/>
          <w:color w:val="000000"/>
          <w:sz w:val="20"/>
        </w:rPr>
        <w:t xml:space="preserve"> </w:t>
      </w:r>
      <w:r>
        <w:rPr>
          <w:rFonts w:ascii="Times New Roman" w:hAnsi="Times New Roman"/>
          <w:color w:val="000000"/>
          <w:sz w:val="19"/>
        </w:rPr>
        <w:t>customers represented 41.8% and 14.2% of our accounts receivable, net balance, respectively.</w:t>
      </w:r>
    </w:p>
    <w:p>
      <w:pPr>
        <w:pStyle w:val="TextBody"/>
        <w:bidi w:val="0"/>
        <w:jc w:val="left"/>
        <w:rPr/>
      </w:pPr>
      <w:r>
        <w:rPr/>
        <w:t> </w:t>
      </w:r>
    </w:p>
    <w:tbl>
      <w:tblPr>
        <w:tblW w:w="4417" w:type="dxa"/>
        <w:jc w:val="left"/>
        <w:tblInd w:w="0" w:type="dxa"/>
        <w:tblLayout w:type="fixed"/>
        <w:tblCellMar>
          <w:top w:w="28" w:type="dxa"/>
          <w:left w:w="28" w:type="dxa"/>
          <w:bottom w:w="28" w:type="dxa"/>
          <w:right w:w="28" w:type="dxa"/>
        </w:tblCellMar>
      </w:tblPr>
      <w:tblGrid>
        <w:gridCol w:w="1501"/>
        <w:gridCol w:w="146"/>
        <w:gridCol w:w="211"/>
        <w:gridCol w:w="781"/>
        <w:gridCol w:w="146"/>
        <w:gridCol w:w="146"/>
        <w:gridCol w:w="233"/>
        <w:gridCol w:w="862"/>
        <w:gridCol w:w="3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92" w:type="dxa"/>
        <w:jc w:val="left"/>
        <w:tblInd w:w="0" w:type="dxa"/>
        <w:tblLayout w:type="fixed"/>
        <w:tblCellMar>
          <w:top w:w="28" w:type="dxa"/>
          <w:left w:w="28" w:type="dxa"/>
          <w:bottom w:w="28" w:type="dxa"/>
          <w:right w:w="28" w:type="dxa"/>
        </w:tblCellMar>
      </w:tblPr>
      <w:tblGrid>
        <w:gridCol w:w="4381"/>
        <w:gridCol w:w="146"/>
        <w:gridCol w:w="211"/>
        <w:gridCol w:w="736"/>
        <w:gridCol w:w="166"/>
        <w:gridCol w:w="146"/>
        <w:gridCol w:w="244"/>
        <w:gridCol w:w="851"/>
        <w:gridCol w:w="4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software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29,742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651"/>
        <w:gridCol w:w="146"/>
        <w:gridCol w:w="211"/>
        <w:gridCol w:w="676"/>
        <w:gridCol w:w="146"/>
        <w:gridCol w:w="146"/>
        <w:gridCol w:w="260"/>
        <w:gridCol w:w="835"/>
        <w:gridCol w:w="3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57" w:type="dxa"/>
        <w:jc w:val="left"/>
        <w:tblInd w:w="0" w:type="dxa"/>
        <w:tblLayout w:type="fixed"/>
        <w:tblCellMar>
          <w:top w:w="28" w:type="dxa"/>
          <w:left w:w="28" w:type="dxa"/>
          <w:bottom w:w="28" w:type="dxa"/>
          <w:right w:w="28" w:type="dxa"/>
        </w:tblCellMar>
      </w:tblPr>
      <w:tblGrid>
        <w:gridCol w:w="4141"/>
        <w:gridCol w:w="146"/>
        <w:gridCol w:w="211"/>
        <w:gridCol w:w="781"/>
        <w:gridCol w:w="146"/>
        <w:gridCol w:w="146"/>
        <w:gridCol w:w="233"/>
        <w:gridCol w:w="862"/>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reserves for sales returns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reserves for customer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freight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use tax and value-added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60"/>
        <w:gridCol w:w="835"/>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Debt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On September 3, 2021, we refinanced the First Lien Credit and Guaranty Agreement with a new Credit Agreement (as amended, the “Credit Agreement”). The Credit Agreement provides for a $100.0 million five-year revolving credit facility (“Revolving Facility”) and a $250.0 million five-year term loan facility (“Term Loan”),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 We prepaid $21.9 million and $12.5 million of the Term Loan principal in the three months ended March 31, 2025 and in the year ended December 31, 2024, respectively.</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carrying value of our Term Loan (in thousands):</w:t>
      </w:r>
    </w:p>
    <w:tbl>
      <w:tblPr>
        <w:tblW w:w="7287" w:type="dxa"/>
        <w:jc w:val="left"/>
        <w:tblInd w:w="0" w:type="dxa"/>
        <w:tblLayout w:type="fixed"/>
        <w:tblCellMar>
          <w:top w:w="28" w:type="dxa"/>
          <w:left w:w="28" w:type="dxa"/>
          <w:bottom w:w="28" w:type="dxa"/>
          <w:right w:w="28" w:type="dxa"/>
        </w:tblCellMar>
      </w:tblPr>
      <w:tblGrid>
        <w:gridCol w:w="4351"/>
        <w:gridCol w:w="146"/>
        <w:gridCol w:w="211"/>
        <w:gridCol w:w="781"/>
        <w:gridCol w:w="166"/>
        <w:gridCol w:w="146"/>
        <w:gridCol w:w="233"/>
        <w:gridCol w:w="862"/>
        <w:gridCol w:w="3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(variable rate) due September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discount and issuance cost,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debt maturing within one year,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estimated fair value of the Term Loan, which we have classified as a Level 2 financial instrument, was approximately $151.4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we had $99.8 million unused capacity under the Revolving Facility.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19, 2024, we entered into a Fourth Amendment (the “Fourth Amendment”) to the Credit Agreement, which provides for, among other things, (i) effectuates the transition of the underlying variable interest rate from the BSBY to a forward-looking interest rate based on the Secured Overnight Financing Rate (“SOFR”), with no change to the applicable margin percentage spread, but with the addition of a rate spread adjustment in the amount of 0.10% per annum, (ii) increases the letter of credit sublimit from $15 million to $65 million and (iii) the issuance of letters of credit denominated in Euro.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effective interest rate of our Term Loan, inclusive of the debt discount and debt issuance costs, was approximately 6.2% and 7.5% for the three months ended March 31, 2025 and 2024, respectively.</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Credit Agreement). As of March 31, 2025, we were not in default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interest expense recognized for all periods presented (in thousands):</w:t>
      </w:r>
    </w:p>
    <w:tbl>
      <w:tblPr>
        <w:tblW w:w="6514" w:type="dxa"/>
        <w:jc w:val="left"/>
        <w:tblInd w:w="0" w:type="dxa"/>
        <w:tblLayout w:type="fixed"/>
        <w:tblCellMar>
          <w:top w:w="28" w:type="dxa"/>
          <w:left w:w="28" w:type="dxa"/>
          <w:bottom w:w="28" w:type="dxa"/>
          <w:right w:w="28" w:type="dxa"/>
        </w:tblCellMar>
      </w:tblPr>
      <w:tblGrid>
        <w:gridCol w:w="4121"/>
        <w:gridCol w:w="146"/>
        <w:gridCol w:w="211"/>
        <w:gridCol w:w="571"/>
        <w:gridCol w:w="146"/>
        <w:gridCol w:w="146"/>
        <w:gridCol w:w="211"/>
        <w:gridCol w:w="571"/>
        <w:gridCol w:w="39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Contractual interest expense for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discount and issuance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principal payments under our total long-term debt as of March 31, 2025 are as follows (in thousands):</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Warranties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assurance-type warranty obligations were as follows (in thousands):</w:t>
      </w:r>
    </w:p>
    <w:tbl>
      <w:tblPr>
        <w:tblW w:w="6679" w:type="dxa"/>
        <w:jc w:val="left"/>
        <w:tblInd w:w="0" w:type="dxa"/>
        <w:tblLayout w:type="fixed"/>
        <w:tblCellMar>
          <w:top w:w="28" w:type="dxa"/>
          <w:left w:w="28" w:type="dxa"/>
          <w:bottom w:w="28" w:type="dxa"/>
          <w:right w:w="28" w:type="dxa"/>
        </w:tblCellMar>
      </w:tblPr>
      <w:tblGrid>
        <w:gridCol w:w="4146"/>
        <w:gridCol w:w="146"/>
        <w:gridCol w:w="211"/>
        <w:gridCol w:w="631"/>
        <w:gridCol w:w="166"/>
        <w:gridCol w:w="146"/>
        <w:gridCol w:w="211"/>
        <w:gridCol w:w="63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provision related to products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Deductions for warranty claims processed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Unconditional 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enter into various purchase commitments for goods or services. Our long-term non-cancelable purchase commitments consist primarily of multi-year contractual arrangements relating to subscriptions for our enterprise resource planning system and the related support services, in addition to commitments related to other cloud computing hosting arrangements. Total long-term non-cancelable purchase commitments as of March 31, 2025 and December 31, 2024 was $1.4 million and $1.6 million,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Letters of credit outstanding as of March 31, 2025 and December 31, 2024 were each at $0.2 million. No amounts have been drawn upon the letters of credit for the three months ended March 31, 2025 and for the year ended December 31, 2024,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financial position,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Shelf-Registration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22, 2022, we filed a shelf registration statement on Form S-3 with the SEC, which was declared effective August 1, 2022 (the “2022 Shelf Registration Statement”). The 2022 Shelf Registration Statement registered securities to be offered by us, in an amount up to $300.0 million, including common stock, preferred stock and warrants, through August 1, 2025.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$216.7 million remained available for issuance under the 2022 Shelf Registration Statement.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Equity Incentive Plans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have two active equity incentive plans: the 2020 Equity Incentive Plan and the 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granted performance stock units (“PSU”) to certain members of our management team under the 2020 Equity Incentive Plan. The vesting of PSUs is conditional upon the achievement of certain internal financial targets for the year ended December 31, 2025 and these will vest over a three-year service period. The number of units to be earned can range from 0% to 200% of the target shares depending on the achievement of the financial targets. In the event such targets are achieved, one-third of the eligible PSUs would vest and the remaining two-thirds would thereafter vest quarterly over the second and third years, subject to continued service. In the event the minimum targets are not achieved, no PSUs would vest. The compensation expense associated with PSUs is recognized using the accelerated attribution method over the requisite service period, and it is based on the estimated number of shares that is considered probable of vesting. Adjustments to the compensation expense will be made in each reporting period based on changes in our estimate of the number of PSUs that are probable of vesting.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and recognize compensation for all stock-based compensation awards, including stock options, stock purchase rights, restricted stock units (“RSU”) and PSU, based upon the grant-date fair value of those awards. The grant-date fair value of our stock options and stock purchase rights is estimated using a Black-Scholes-Merton option-pricing model. The fair value of our RSUs and PSUs are calculated based on the market value of our stock at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stock-based compensation expense by line item in the condensed consolidated statements of operations (in thousands):</w:t>
      </w:r>
    </w:p>
    <w:tbl>
      <w:tblPr>
        <w:tblW w:w="8609" w:type="dxa"/>
        <w:jc w:val="left"/>
        <w:tblInd w:w="0" w:type="dxa"/>
        <w:tblLayout w:type="fixed"/>
        <w:tblCellMar>
          <w:top w:w="28" w:type="dxa"/>
          <w:left w:w="28" w:type="dxa"/>
          <w:bottom w:w="28" w:type="dxa"/>
          <w:right w:w="28" w:type="dxa"/>
        </w:tblCellMar>
      </w:tblPr>
      <w:tblGrid>
        <w:gridCol w:w="6216"/>
        <w:gridCol w:w="146"/>
        <w:gridCol w:w="211"/>
        <w:gridCol w:w="571"/>
        <w:gridCol w:w="146"/>
        <w:gridCol w:w="146"/>
        <w:gridCol w:w="211"/>
        <w:gridCol w:w="571"/>
        <w:gridCol w:w="39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Stock-based compensation expense, net of amounts capitalized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Excess income tax benefits related to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Stock-based compensation expense capitalized were not material for each of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by type of grant, the total unrecognized stock-based compensation expense and the remaining period over which such expense is expected to be recognized (in thousands, except number of years):</w:t>
      </w:r>
    </w:p>
    <w:tbl>
      <w:tblPr>
        <w:tblW w:w="10205" w:type="dxa"/>
        <w:jc w:val="left"/>
        <w:tblInd w:w="0" w:type="dxa"/>
        <w:tblLayout w:type="fixed"/>
        <w:tblCellMar>
          <w:top w:w="28" w:type="dxa"/>
          <w:left w:w="28" w:type="dxa"/>
          <w:bottom w:w="28" w:type="dxa"/>
          <w:right w:w="28" w:type="dxa"/>
        </w:tblCellMar>
      </w:tblPr>
      <w:tblGrid>
        <w:gridCol w:w="4665"/>
        <w:gridCol w:w="146"/>
        <w:gridCol w:w="402"/>
        <w:gridCol w:w="1295"/>
        <w:gridCol w:w="146"/>
        <w:gridCol w:w="146"/>
        <w:gridCol w:w="3405"/>
      </w:tblGrid>
      <w:tr>
        <w:trPr/>
        <w:tc>
          <w:tcPr>
            <w:tcW w:w="4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weighted average period (In years)</w:t>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46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46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0.4</w:t>
            </w:r>
          </w:p>
        </w:tc>
      </w:tr>
      <w:tr>
        <w:trPr/>
        <w:tc>
          <w:tcPr>
            <w:tcW w:w="46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calculation of basic and diluted net loss per share (in thousands, except per share amounts):</w:t>
      </w:r>
    </w:p>
    <w:tbl>
      <w:tblPr>
        <w:tblW w:w="9724" w:type="dxa"/>
        <w:jc w:val="left"/>
        <w:tblInd w:w="0" w:type="dxa"/>
        <w:tblLayout w:type="fixed"/>
        <w:tblCellMar>
          <w:top w:w="28" w:type="dxa"/>
          <w:left w:w="28" w:type="dxa"/>
          <w:bottom w:w="28" w:type="dxa"/>
          <w:right w:w="28" w:type="dxa"/>
        </w:tblCellMar>
      </w:tblPr>
      <w:tblGrid>
        <w:gridCol w:w="6871"/>
        <w:gridCol w:w="146"/>
        <w:gridCol w:w="211"/>
        <w:gridCol w:w="781"/>
        <w:gridCol w:w="166"/>
        <w:gridCol w:w="146"/>
        <w:gridCol w:w="211"/>
        <w:gridCol w:w="781"/>
        <w:gridCol w:w="411"/>
      </w:tblGrid>
      <w:tr>
        <w:trPr/>
        <w:tc>
          <w:tcPr>
            <w:tcW w:w="6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 of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Anti-dilutive potential common shares </w:t>
            </w:r>
            <w:r>
              <w:rPr>
                <w:rFonts w:ascii="sans-serif" w:hAnsi="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Potential common share equivalents were not included in the calculation of diluted net loss per share as the effect would have been anti-dilutive.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loss before income taxes, income tax benefit (expense) and effective income tax rates for all periods presented (in thousands, except percentages):</w:t>
      </w:r>
    </w:p>
    <w:tbl>
      <w:tblPr>
        <w:tblW w:w="5189" w:type="dxa"/>
        <w:jc w:val="left"/>
        <w:tblInd w:w="0" w:type="dxa"/>
        <w:tblLayout w:type="fixed"/>
        <w:tblCellMar>
          <w:top w:w="28" w:type="dxa"/>
          <w:left w:w="28" w:type="dxa"/>
          <w:bottom w:w="28" w:type="dxa"/>
          <w:right w:w="28" w:type="dxa"/>
        </w:tblCellMar>
      </w:tblPr>
      <w:tblGrid>
        <w:gridCol w:w="2461"/>
        <w:gridCol w:w="146"/>
        <w:gridCol w:w="211"/>
        <w:gridCol w:w="631"/>
        <w:gridCol w:w="331"/>
        <w:gridCol w:w="146"/>
        <w:gridCol w:w="211"/>
        <w:gridCol w:w="736"/>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U.S. and foreign jurisdictions in which we do business. These foreign jurisdictions have statutory tax rates different from those in the U.S.. Accordingly, our effective tax rates will vary depending on the relative proportion of foreign to U.S. income, the utilization of net operating loss and tax credit carry forwards, changes in geographic mix of income and expense, changes in management’s assessment of matters such as the ability to realize deferred tax assets, and changes in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tax expense of (25.0)% and tax benefit of 13.9% for the three months ended March 31, 2025 and 2024, respectively. The change in our effective rate in the three-month period was primarily driven by a change in the mix of income and losses in the various tax jurisdictions in which we operate, as well as the impact of valuation allowance on U.S. federal and state deferred tax assets, which reduced the U.S. deferred 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 our deferred tax assets and liabilities to determine if it is more likely than not that they will be realized; if not, a valuation allowance is required to be recorded. Previously, in the third quarter of 2024, we have reached a cumulative loss position over the previous three years, and with consideration of other negative evidence, we concluded that U.S. federal and state deferred tax assets are not more likely than not to be realized. As a result of the foregoing, a full valuation allowance was recorded in the year ended December 31, 2024. The deferred tax liability related to indefinite-lived assets was excluded from sources of future taxable income, as the timing of its reversal cannot be predicted due to the nature of its indefinite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tax benefits were $3.3 million as of March 31, 2025 and $3.2 million as of December 31, 2024, respectively, and if recognized, would favorably affect the effective income tax rate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Segment and Geographic Information and Major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based on components of a company that engage in business activity that earn revenue and incur expenses and (a) whose operating results are regularly reviewed by its chief operating decision maker (“CODM”) to make decisions about resource allocation and performance and (b) for which discrete financial information is available. By this definition, we have identified our Chief Executive Officer as the CODM. We operate and report in two segments: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Gamer and Creator Peripherals. </w:t>
      </w:r>
      <w:r>
        <w:rPr>
          <w:rFonts w:ascii="Times New Roman" w:hAnsi="Times New Roman"/>
          <w:color w:val="000000"/>
          <w:sz w:val="20"/>
        </w:rPr>
        <w:t>Includes our high-performance gaming keyboards, mice, headsets, controllers, and our streaming products, which includes capture cards, Stream Decks, microphones and audio interfaces, our Facecam streaming cameras, studio accessories, sim racing products,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Gaming Components and Systems. </w:t>
      </w:r>
      <w:r>
        <w:rPr>
          <w:rFonts w:ascii="Times New Roman" w:hAnsi="Times New Roman"/>
          <w:color w:val="000000"/>
          <w:sz w:val="20"/>
        </w:rPr>
        <w:t>Includes our high-performance power supply units, cooling solutions, computer cases, DRAM modules, as well as high-end prebuilt and custom-built gaming PCs and laptops, and gaming monitors,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this structure reflects our current operational and financial management, and that it provides the best structure for us to focus on growth opportunities while maintaining financial discipline.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CODM reviews net revenue, and gross profit of these segments on a regular basis to evaluate the performance of, and allocates resources to, each of the two segments. The CODM considers budget-to-actual variances on a monthly basis when making decisions about allocating resources to the segments. Our CODM manages assets on a total company basis, not by operating segments, therefore segmental asset information is not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Profit and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tables below present the reportable segment profit and loss measure - segment gross profit for each of the periods presented (in thousands): </w:t>
      </w:r>
    </w:p>
    <w:tbl>
      <w:tblPr>
        <w:tblW w:w="9219" w:type="dxa"/>
        <w:jc w:val="left"/>
        <w:tblInd w:w="0" w:type="dxa"/>
        <w:tblLayout w:type="fixed"/>
        <w:tblCellMar>
          <w:top w:w="28" w:type="dxa"/>
          <w:left w:w="28" w:type="dxa"/>
          <w:bottom w:w="28" w:type="dxa"/>
          <w:right w:w="28" w:type="dxa"/>
        </w:tblCellMar>
      </w:tblPr>
      <w:tblGrid>
        <w:gridCol w:w="2091"/>
        <w:gridCol w:w="146"/>
        <w:gridCol w:w="517"/>
        <w:gridCol w:w="1913"/>
        <w:gridCol w:w="146"/>
        <w:gridCol w:w="146"/>
        <w:gridCol w:w="543"/>
        <w:gridCol w:w="2022"/>
        <w:gridCol w:w="166"/>
        <w:gridCol w:w="146"/>
        <w:gridCol w:w="211"/>
        <w:gridCol w:w="781"/>
        <w:gridCol w:w="391"/>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 Creator Peripherals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 Components and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Net revenue</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Inventory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 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 Creator Peripherals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 Components and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Net revenue</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Inventory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are no intersegment revenues between the reportable segments in the periods presented.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sz w:val="22"/>
        </w:rPr>
      </w:pPr>
      <w:r>
        <w:rPr>
          <w:rFonts w:ascii="Times New Roman" w:hAnsi="Times New Roman"/>
          <w:color w:val="000000"/>
          <w:sz w:val="18"/>
        </w:rPr>
        <w:t>Represents the significant expense in the reportable segment</w:t>
      </w:r>
      <w:r>
        <w:rPr>
          <w:rFonts w:ascii="Times New Roman" w:hAnsi="Times New Roman"/>
          <w:color w:val="000000"/>
          <w:sz w:val="22"/>
        </w:rPr>
        <w:t>’</w:t>
      </w:r>
      <w:r>
        <w:rPr>
          <w:rFonts w:ascii="Times New Roman" w:hAnsi="Times New Roman"/>
          <w:color w:val="000000"/>
          <w:sz w:val="18"/>
        </w:rPr>
        <w:t>s profit or loss measure (i.e., gross profit), aligning with the segment-level information that is regularly provided to our CODM. Total inventory costs for the reportable segment include costs of purchases from contract manufacturers, and capitalized direct overhead costs recognized in cost of revenue for the periods presented.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other segment items incurred in the periods presented, including inbound freight costs, duties and tariffs, warranty replacement cost to process and rework returned items, overhead and excess and obsolete inventory write-downs, and other costs. These costs are netted with inventory cost adjustments for product returns in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by Major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customers that individually comprised 10% or more of our total net revenue for the periods presented:</w:t>
      </w:r>
    </w:p>
    <w:tbl>
      <w:tblPr>
        <w:tblW w:w="3184" w:type="dxa"/>
        <w:jc w:val="left"/>
        <w:tblInd w:w="0" w:type="dxa"/>
        <w:tblLayout w:type="fixed"/>
        <w:tblCellMar>
          <w:top w:w="28" w:type="dxa"/>
          <w:left w:w="28" w:type="dxa"/>
          <w:bottom w:w="28" w:type="dxa"/>
          <w:right w:w="28" w:type="dxa"/>
        </w:tblCellMar>
      </w:tblPr>
      <w:tblGrid>
        <w:gridCol w:w="1081"/>
        <w:gridCol w:w="146"/>
        <w:gridCol w:w="146"/>
        <w:gridCol w:w="466"/>
        <w:gridCol w:w="271"/>
        <w:gridCol w:w="146"/>
        <w:gridCol w:w="146"/>
        <w:gridCol w:w="46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 Customer represents less than 10% of our total net revenue in the period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by Major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net revenue by major product category for the periods presented (in thousands):</w:t>
      </w:r>
    </w:p>
    <w:tbl>
      <w:tblPr>
        <w:tblW w:w="6279" w:type="dxa"/>
        <w:jc w:val="left"/>
        <w:tblInd w:w="0" w:type="dxa"/>
        <w:tblLayout w:type="fixed"/>
        <w:tblCellMar>
          <w:top w:w="28" w:type="dxa"/>
          <w:left w:w="28" w:type="dxa"/>
          <w:bottom w:w="28" w:type="dxa"/>
          <w:right w:w="28" w:type="dxa"/>
        </w:tblCellMar>
      </w:tblPr>
      <w:tblGrid>
        <w:gridCol w:w="3466"/>
        <w:gridCol w:w="146"/>
        <w:gridCol w:w="211"/>
        <w:gridCol w:w="781"/>
        <w:gridCol w:w="146"/>
        <w:gridCol w:w="146"/>
        <w:gridCol w:w="211"/>
        <w:gridCol w:w="78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Gamer and Creator Peripherals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Gaming Peripherals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Gaming Components and Systems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Memory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revenue by geographic region based on the location of the customer (in thousands):</w:t>
      </w:r>
    </w:p>
    <w:tbl>
      <w:tblPr>
        <w:tblW w:w="5259" w:type="dxa"/>
        <w:jc w:val="left"/>
        <w:tblInd w:w="0" w:type="dxa"/>
        <w:tblLayout w:type="fixed"/>
        <w:tblCellMar>
          <w:top w:w="28" w:type="dxa"/>
          <w:left w:w="28" w:type="dxa"/>
          <w:bottom w:w="28" w:type="dxa"/>
          <w:right w:w="28" w:type="dxa"/>
        </w:tblCellMar>
      </w:tblPr>
      <w:tblGrid>
        <w:gridCol w:w="2446"/>
        <w:gridCol w:w="146"/>
        <w:gridCol w:w="211"/>
        <w:gridCol w:w="781"/>
        <w:gridCol w:w="146"/>
        <w:gridCol w:w="146"/>
        <w:gridCol w:w="211"/>
        <w:gridCol w:w="781"/>
        <w:gridCol w:w="3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Americas (excluding U.S.)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and Middle East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Asia Pacific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 individual country, other than disclosed above, represented 10% or more of our consolidated net revenue in the periods presented.</w:t>
      </w:r>
    </w:p>
    <w:p>
      <w:pPr>
        <w:pStyle w:val="TextBody"/>
        <w:bidi w:val="0"/>
        <w:spacing w:before="240" w:after="283"/>
        <w:jc w:val="left"/>
        <w:rPr>
          <w:rFonts w:ascii="Times New Roman" w:hAnsi="Times New Roman"/>
          <w:sz w:val="20"/>
        </w:rPr>
      </w:pPr>
      <w:r>
        <w:rPr>
          <w:rFonts w:ascii="Times New Roman" w:hAnsi="Times New Roman"/>
          <w:b/>
          <w:color w:val="000000"/>
          <w:sz w:val="20"/>
        </w:rPr>
        <w:t>14. Redeemable Noncontrolling Interest (</w:t>
      </w:r>
      <w:r>
        <w:rPr>
          <w:rFonts w:ascii="Times New Roman" w:hAnsi="Times New Roman"/>
          <w:color w:val="000000"/>
          <w:sz w:val="20"/>
        </w:rPr>
        <w:t>“</w:t>
      </w:r>
      <w:r>
        <w:rPr>
          <w:rFonts w:ascii="Times New Roman" w:hAnsi="Times New Roman"/>
          <w:b/>
          <w:color w:val="000000"/>
          <w:sz w:val="20"/>
        </w:rPr>
        <w:t>RNCI”)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2022, we acquired a 51% controlling interest in iDisplay and entered into a Shareholders Agreement (the “SHA”) with the iDisplay Seller which provided a put option to the iDisplay Seller to sell and a call option for us to purchase up to 29% of the remaining interests in iDisplay. The exercise price of the put and call option under the SHA is based on certain prescribed multiples of iDisplay’s historical TTM EBITDA less any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Corsair and the iDisplay Seller did not exercise their call or put option under the SHA, but instead on July 1, 2024 (the “Execution Date”), Corsair entered into a Share Purchase Amendment Agreement (the “SPAA”) with the iDisplay Seller to purchase an additional 30% ownership stake in iDisplay for a cash consideration of $19.8 million (the “Additional Purchase Transaction”). The closing conditions of the SPAA were completed on July 8, 2024 (the “Closing Date”) along with our payment of the cash consideration. As a result, our total ownership stake in iDisplay increased from 51% to 81%, and correspondingly, iDisplay Seller's ownership interest in iDisplay decreased from 49% to 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SPAA also replaced the call option and put option in the SHA with new options. Under the SPAA, a put option (the “Put Option”) was provided to the iDisplay Seller to sell up to 19% of the remaining ownership interest in iDisplay to Corsair within one year after the fifth anniversary date of the Execution Date, and a call option (the “Call Option”) was provided to Corsair to purchase up to 19% of the remaining ownership interest in iDisplay at any time after the second anniversary of the Execution Date. The exercise price of the Put Option and Call Option remain the same as the terms defined in the SHA. In addition, if the founder of iDisplay ceases to serve as the manager of iDisplay, voluntarily or with cause, we are entitled to an irrevocable call option to purchase up to 19% ownership interest in iDisplay at any time during the five years after the Execution Date and the exercise price is based on a prescribed multiple of TTM EBITDA.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 to the applicable accounting guidance, purchase of noncontrolling interest that does not result in a change in control of the subsidiary is accounted for as equity transaction. Since we continue to maintain control of iDisplay after the Additional Purchase Transaction, the net deficit of $1.6 million, net of tax impact, between the consideration paid for the additional 30% ownership stake and its carrying value as of the Closing Date was recognized as an adjustment to our additional paid-in capital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according to the SPAA, the remaining 19% interest in iDisplay not acquired by Corsair is subject to redemption by the iDisplay Seller through the Put Option. Since the redemption is not solely within our control, the carrying value of the remaining 19% interest in iDisplay is classified as temporary equity in our consolidated balance sheet effective from the Closing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changes in RNCI for the periods presented (in thousands):</w:t>
      </w:r>
    </w:p>
    <w:tbl>
      <w:tblPr>
        <w:tblW w:w="5524" w:type="dxa"/>
        <w:jc w:val="left"/>
        <w:tblInd w:w="0" w:type="dxa"/>
        <w:tblLayout w:type="fixed"/>
        <w:tblCellMar>
          <w:top w:w="28" w:type="dxa"/>
          <w:left w:w="28" w:type="dxa"/>
          <w:bottom w:w="28" w:type="dxa"/>
          <w:right w:w="28" w:type="dxa"/>
        </w:tblCellMar>
      </w:tblPr>
      <w:tblGrid>
        <w:gridCol w:w="2981"/>
        <w:gridCol w:w="146"/>
        <w:gridCol w:w="211"/>
        <w:gridCol w:w="676"/>
        <w:gridCol w:w="166"/>
        <w:gridCol w:w="146"/>
        <w:gridCol w:w="211"/>
        <w:gridCol w:w="676"/>
        <w:gridCol w:w="311"/>
      </w:tblGrid>
      <w:tr>
        <w:trPr/>
        <w:tc>
          <w:tcPr>
            <w:tcW w:w="2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of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of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9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Balance at end of period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15,925</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sz w:val="20"/>
        </w:rPr>
      </w:pPr>
      <w:r>
        <w:rPr>
          <w:rFonts w:ascii="Times New Roman" w:hAnsi="Times New Roman"/>
          <w:color w:val="000000"/>
          <w:sz w:val="18"/>
        </w:rPr>
        <w:t>RNCI balance of $14.5</w:t>
      </w:r>
      <w:r>
        <w:rPr>
          <w:rFonts w:ascii="Times New Roman" w:hAnsi="Times New Roman"/>
          <w:color w:val="000000"/>
          <w:sz w:val="20"/>
        </w:rPr>
        <w:t xml:space="preserve"> </w:t>
      </w:r>
      <w:r>
        <w:rPr>
          <w:rFonts w:ascii="Times New Roman" w:hAnsi="Times New Roman"/>
          <w:color w:val="000000"/>
          <w:sz w:val="18"/>
        </w:rPr>
        <w:t>million and $15.9</w:t>
      </w:r>
      <w:r>
        <w:rPr>
          <w:rFonts w:ascii="Times New Roman" w:hAnsi="Times New Roman"/>
          <w:color w:val="000000"/>
          <w:sz w:val="20"/>
        </w:rPr>
        <w:t xml:space="preserve"> </w:t>
      </w:r>
      <w:r>
        <w:rPr>
          <w:rFonts w:ascii="Times New Roman" w:hAnsi="Times New Roman"/>
          <w:color w:val="000000"/>
          <w:sz w:val="18"/>
        </w:rPr>
        <w:t>million as of March 31, 2025 and 2024 represented 19% and 29% interest in iDisplay, respectively, that were not acquired by Corsair.</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MANAGEMENT’S DISCUSSION AND ANALYSIS OF FINANCIAL CONDITION</w:t>
      </w:r>
    </w:p>
    <w:p>
      <w:pPr>
        <w:pStyle w:val="TextBody"/>
        <w:bidi w:val="0"/>
        <w:jc w:val="center"/>
        <w:rPr>
          <w:rFonts w:ascii="Times New Roman" w:hAnsi="Times New Roman"/>
          <w:b/>
          <w:color w:val="000000"/>
          <w:sz w:val="20"/>
        </w:rPr>
      </w:pPr>
      <w:r>
        <w:rPr>
          <w:rFonts w:ascii="Times New Roman" w:hAnsi="Times New Roman"/>
          <w:b/>
          <w:color w:val="000000"/>
          <w:sz w:val="20"/>
        </w:rPr>
        <w:t>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2024, as filed with the United States Securities and Exchange Commission (“SEC”) on February 26, 2025.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2024, and below in Item 3,“Quantitative and Qualitative Disclosures about Market Risk”.</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global provider and innovator of high-performance products for gamers and digital creators, such as streamers, vloggers and broadcasters, many of which build their own PCs using our components. Our industry-leading gaming products help digital athletes, from casual gamers to committed professionals, perform at their peak across PC or console platforms, and our streaming products enable creators, particularly streamers, to produce studio-quality content to share with friends or to broadcast to millions of fans. Our PC components products offer our customers multiple options to build their customized gaming and workstation desktop PCs. Our solution is the most complete suite of products that address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Elgato's marketplace, customer care and extended warranty into our product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group our products into two categories (operating segments):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Gamer and Creator Peripherals. </w:t>
      </w:r>
      <w:r>
        <w:rPr>
          <w:rFonts w:ascii="Times New Roman" w:hAnsi="Times New Roman"/>
          <w:color w:val="000000"/>
          <w:sz w:val="20"/>
        </w:rPr>
        <w:t>Includes our high-performance gaming keyboards, mice, headsets, controllers, and streaming products, which includes capture cards, Stream Decks, microphones and audio interfaces, our Facecam streaming cameras, studio accessories, sim racing products,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Gaming Components and Systems. </w:t>
      </w:r>
      <w:r>
        <w:rPr>
          <w:rFonts w:ascii="Times New Roman" w:hAnsi="Times New Roman"/>
          <w:color w:val="000000"/>
          <w:sz w:val="20"/>
        </w:rPr>
        <w:t>Includes our high-performance power supply units, cooling solutions, computer cases, and DRAM modules, as well as high-end prebuilt and custom-built gaming PCs and laptops, and gaming monitors, among others.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revenue was $369.8 million and $337.3 million for the three months ended March 31, 2025 and 2024, respectively. Our gross margin was 27.7% and 25.7% for the three months ended March 31, 2025 and 2024, respectively. We had a net loss of $10.3 million and $11.0 million for the three months ended March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cash and restricted cash, in the aggregate of $102.5 million and the principal balance outstanding on our Term Loan was $149.0 million. Cash generated from operations was $18.8 million and cash used in operations was $26.3 million for the three months ended March 31, 2025 and 2024,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are affected by numerous factors, including those discussed under the heading “Risk Factors” in Part I, Item 1A of our Annual Report on Form 10-K for the year ended December 31, 2024 and of this Quarterly report on Form 10-Q, as well as those described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financial performance depend significantly on worldwide economic conditions. We continue to face global macroeconomic challenges including evolving dynamics in the global trade environment and changes in laws or policies governing the terms of foreign trade, in particular increased trade restrictions, tariffs or taxes on imports or exports from or to countries where we manufacture or sell our products, inflationary trends, uncertainty in key financial markets, volatility in exchange rates and the risk of a recession. Other geopolitical concerns continue such as the effects of the ongoing conflicts in Ukraine and the Middle East, the tensions in the Red Sea, and any potential conflicts between China and Taiwan, and the resulting supply chain constraints.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Since February 2025, the U.S. government has proposed and in certain cases implemented new, substantial tariffs on imports to the U.S. from various countries, including Taiwan, China and Vietnam, where we manufacture or source our products. These tariffs and any retaliatory actions from other countries have created a volatile environment for global trade. As a global company with a flexible and multi-location manufacturing base, we are actively working to mitigate the potential supply chain challenges. Our products are manufactured in several countries, including the U.S., through a combination of our own factories and a network of reliable assembly subcontractors, and we have in the past demonstrated our ability to shift production locations with minimal disruptions to our business. During the first three months of 2025, the impact of new tariffs on our business was not material to our condensed consolidated financial statements. We expect the global tariff environment to remain volatile throughout 2025, and we are actively monitoring developments in global tariffs and will continue to evaluate the potential impact on our business and financial condition, as well as on our suppliers, and the actions we may take to mitigate any impact. For our risk factor related to the impact of tariffs, see “</w:t>
      </w:r>
      <w:r>
        <w:rPr>
          <w:rFonts w:ascii="Times New Roman" w:hAnsi="Times New Roman"/>
          <w:i/>
          <w:color w:val="000000"/>
          <w:sz w:val="20"/>
        </w:rPr>
        <w:t>Changes in trade policy and regulations in the U.S. and other countries, including changes in trade agreements and the imposition of tariffs, as well as retaliatory responses, may have adverse impacts on our business, results of operations and financial condition.</w:t>
      </w:r>
      <w:r>
        <w:rPr>
          <w:rFonts w:ascii="Times New Roman" w:hAnsi="Times New Roman"/>
          <w:color w:val="000000"/>
          <w:sz w:val="20"/>
        </w:rPr>
        <w:t>” under item 1A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experience seasonality in the sale of our products, which may be affected by general economic conditions. The extent of the impact of macroeconomic conditions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foreign currency exchange rates. As a result of our foreign sales and operations, we have revenue, payroll and other operating expenses denominated in foreign currencies, in particular the Chinese Yuan, Euro and British Pound. Unfavorable movement in the exchange rate between the U.S. dollar and the currencies we conduct sales or operate in may negatively impact our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Industry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are impacted by industry trends in the gaming market,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Increasing gaming engagement. </w:t>
      </w:r>
      <w:r>
        <w:rPr>
          <w:rFonts w:ascii="Times New Roman" w:hAnsi="Times New Roman"/>
          <w:color w:val="000000"/>
          <w:sz w:val="20"/>
        </w:rPr>
        <w:t xml:space="preserve">We believe that gaming’s increasing time share of global entertainment consumption will drive continued growth in spending on both games and gaming products. Gaming continues to become increasingly social, as streaming viewership becomes more widely adopted along with increasing numbers of content creators. More members of the younger generation are gamers and spend more time on gaming related activities than older generations. We believe these trends will over time bring more gamers and creators to purchase dedicated hardware and help grow the market for peripheral products. The growth of these markets will not be linear, as these markets are impacted by macroeconomic and consumer confidence conditions, amongst other conditions. Our Gaming Components and Systems segment makes components used for self-built PCs and full gaming systems. The self-built PC market is heavily influenced by the timing of release of new game titles and next-gen CPUs and GPUs, as discussed in the bullet below. As for our Gamer and Creator peripherals segment, we saw continued growth from last year, primarily from the successful integration of the new Fanatec business, which improves product availability and enhances customer experience in this market. For the rest of 2025, we expect our Fanatec products to draw key specialist retailers, further expanding our reach in the enthusiast gaming market.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Introduction of new high-performance computing hardware and sophisticated games</w:t>
      </w:r>
      <w:r>
        <w:rPr>
          <w:rFonts w:ascii="Times New Roman" w:hAnsi="Times New Roman"/>
          <w:color w:val="000000"/>
          <w:sz w:val="20"/>
        </w:rPr>
        <w:t xml:space="preserve">. We believe that the introduction of more powerful CPUs and GPUs that place increased demands on other system components, such as memory, power supply or cooling, has a significant effect on increasing the demand for our products. In addition, we believe that the introduction and success of games with sophisticated graphics that place increasing demands on system processing speed and capacity and therefore require more powerful CPUs or GPUs, drives demand for our high-performance gaming components and systems, such as power supply units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 Following a period of elevated demand in 2023, driven by increased GPU availability and popular game launches, demand moderated during 2024 as we entered into a mid-cycle period for new GPU platforms. In early 2025, the launch of the latest generation of GPUs led to a resurgence in demand for our gaming components and systems products, and we expect this trend to continue for the rest of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Customer Concentration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28.3% and 27.7% of our net revenue for the three months ended March 31, 2025 and 2024, respectively, and sales to our ten largest customers accounting for approximately 50.4% and 53.4% of our net revenue for the three months ended March 31, 2025 and 2024, respectively. Our customers, including Amazon, typically do not enter into long-term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to purchase our products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costs, for example utilizing expensive shipping options such as air freight for smaller packages and more urgent deliveries and more cost-efficient options, such as ground or ocean freight, for other shipments, has an impact on our expenses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New Product Introductions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Gamers demand new technology and product features, and we expect our ability to accurately anticipate and meet these demands will be one of the main drivers for any future sales growth and market share expansion. We believe our net revenue for 2024 and for the three months ended March 31, 2025 was favorably impacted by the release of 78 and 18 new products, respectively. While we intend to continue to develop and release new products, there can be no assurance that our new product introductions will have a favorable impact on our operating results or that customers will choose our new products over those of our competitors.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Seasonal Sales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may be further impacted in the future by macroeconomic factors, increasing supply constraints, GPU shortages, and shifts in customer behavior. For example, our revenue seasonality for the third quarter of 2024 was negatively impacted due to a lower demand for our products in the Gaming Components and Systems segment which was primarily attributable to the delayed launches of new, reasonably priced GPUs and CPUs, as well as the postponed releases of new game titles to early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Product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Fluctuations in Integrated Circuits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the components of our condensed consolidated statements of operations, in dollars (thousands) and as a percentage of total net revenue, for each of the periods presented.</w:t>
      </w:r>
    </w:p>
    <w:tbl>
      <w:tblPr>
        <w:tblW w:w="7489" w:type="dxa"/>
        <w:jc w:val="left"/>
        <w:tblInd w:w="0" w:type="dxa"/>
        <w:tblLayout w:type="fixed"/>
        <w:tblCellMar>
          <w:top w:w="28" w:type="dxa"/>
          <w:left w:w="28" w:type="dxa"/>
          <w:bottom w:w="28" w:type="dxa"/>
          <w:right w:w="28" w:type="dxa"/>
        </w:tblCellMar>
      </w:tblPr>
      <w:tblGrid>
        <w:gridCol w:w="4736"/>
        <w:gridCol w:w="146"/>
        <w:gridCol w:w="211"/>
        <w:gridCol w:w="781"/>
        <w:gridCol w:w="166"/>
        <w:gridCol w:w="146"/>
        <w:gridCol w:w="211"/>
        <w:gridCol w:w="781"/>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250,618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96,858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169" w:type="dxa"/>
        <w:jc w:val="left"/>
        <w:tblInd w:w="0" w:type="dxa"/>
        <w:tblLayout w:type="fixed"/>
        <w:tblCellMar>
          <w:top w:w="28" w:type="dxa"/>
          <w:left w:w="28" w:type="dxa"/>
          <w:bottom w:w="28" w:type="dxa"/>
          <w:right w:w="28" w:type="dxa"/>
        </w:tblCellMar>
      </w:tblPr>
      <w:tblGrid>
        <w:gridCol w:w="4736"/>
        <w:gridCol w:w="146"/>
        <w:gridCol w:w="146"/>
        <w:gridCol w:w="571"/>
        <w:gridCol w:w="331"/>
        <w:gridCol w:w="146"/>
        <w:gridCol w:w="146"/>
        <w:gridCol w:w="571"/>
        <w:gridCol w:w="376"/>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Revenue</w:t>
      </w:r>
    </w:p>
    <w:tbl>
      <w:tblPr>
        <w:tblW w:w="3709" w:type="dxa"/>
        <w:jc w:val="left"/>
        <w:tblInd w:w="0" w:type="dxa"/>
        <w:tblLayout w:type="fixed"/>
        <w:tblCellMar>
          <w:top w:w="28" w:type="dxa"/>
          <w:left w:w="28" w:type="dxa"/>
          <w:bottom w:w="28" w:type="dxa"/>
          <w:right w:w="28" w:type="dxa"/>
        </w:tblCellMar>
      </w:tblPr>
      <w:tblGrid>
        <w:gridCol w:w="1096"/>
        <w:gridCol w:w="146"/>
        <w:gridCol w:w="211"/>
        <w:gridCol w:w="781"/>
        <w:gridCol w:w="146"/>
        <w:gridCol w:w="146"/>
        <w:gridCol w:w="211"/>
        <w:gridCol w:w="781"/>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increased by 9.6% for the three months ended March 31, 2025 as compared to the same period last year. The increase in net revenue in the three-month period was due to an 11.9% increase in sales for our Gaming Components and Systems segment, and a 4.7% increase in sales for our 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discussions specific to our Gaming Components and Systems and Gamer and Creator Peripherals segments, refer to “Segment Results” section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 and Gross Margin</w:t>
      </w:r>
    </w:p>
    <w:tbl>
      <w:tblPr>
        <w:tblW w:w="4242" w:type="dxa"/>
        <w:jc w:val="left"/>
        <w:tblInd w:w="0" w:type="dxa"/>
        <w:tblLayout w:type="fixed"/>
        <w:tblCellMar>
          <w:top w:w="28" w:type="dxa"/>
          <w:left w:w="28" w:type="dxa"/>
          <w:bottom w:w="28" w:type="dxa"/>
          <w:right w:w="28" w:type="dxa"/>
        </w:tblCellMar>
      </w:tblPr>
      <w:tblGrid>
        <w:gridCol w:w="1186"/>
        <w:gridCol w:w="146"/>
        <w:gridCol w:w="238"/>
        <w:gridCol w:w="883"/>
        <w:gridCol w:w="306"/>
        <w:gridCol w:w="165"/>
        <w:gridCol w:w="238"/>
        <w:gridCol w:w="764"/>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102,362</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increased by 200 bps for the three months ended March 31, 2025 as compared to the same period last year. The increase was primarily attributable to a 150 bps increase from an improved product mix and lower product costs, and a 40 bps increase from lower costs to process inventory returns in the three months ended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discussions specific to our Gaming Components and Systems and Gamer and Creator Peripherals segments, refer to the “Segment Results” section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General and Administrative (SG&amp;A)</w:t>
      </w:r>
    </w:p>
    <w:tbl>
      <w:tblPr>
        <w:tblW w:w="5194" w:type="dxa"/>
        <w:jc w:val="left"/>
        <w:tblInd w:w="0" w:type="dxa"/>
        <w:tblLayout w:type="fixed"/>
        <w:tblCellMar>
          <w:top w:w="28" w:type="dxa"/>
          <w:left w:w="28" w:type="dxa"/>
          <w:bottom w:w="28" w:type="dxa"/>
          <w:right w:w="28" w:type="dxa"/>
        </w:tblCellMar>
      </w:tblPr>
      <w:tblGrid>
        <w:gridCol w:w="2791"/>
        <w:gridCol w:w="146"/>
        <w:gridCol w:w="211"/>
        <w:gridCol w:w="676"/>
        <w:gridCol w:w="146"/>
        <w:gridCol w:w="146"/>
        <w:gridCol w:w="211"/>
        <w:gridCol w:w="67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increased by $6.8 million, or 8.4%, for the three months ended March 31, 2025 as compared to the same period last year primarily due to a $4.0 million increase in distribution costs from higher sales volume, a $2.7 million increase in marketing and advertising costs, a $1.8 million increase in stock-based compensation expense, a $1.6 million increase in bad debt expense, and a $0.8 million increase in personnel-related cost. These increases were partially offset by a $5.2 million decrease in legal and other professional service expenses, mainly due to the absence of a one-time legal settlement cost that was recognized in the three months ended March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Development</w:t>
      </w:r>
    </w:p>
    <w:tbl>
      <w:tblPr>
        <w:tblW w:w="4264" w:type="dxa"/>
        <w:jc w:val="left"/>
        <w:tblInd w:w="0" w:type="dxa"/>
        <w:tblLayout w:type="fixed"/>
        <w:tblCellMar>
          <w:top w:w="28" w:type="dxa"/>
          <w:left w:w="28" w:type="dxa"/>
          <w:bottom w:w="28" w:type="dxa"/>
          <w:right w:w="28" w:type="dxa"/>
        </w:tblCellMar>
      </w:tblPr>
      <w:tblGrid>
        <w:gridCol w:w="1861"/>
        <w:gridCol w:w="146"/>
        <w:gridCol w:w="211"/>
        <w:gridCol w:w="676"/>
        <w:gridCol w:w="146"/>
        <w:gridCol w:w="146"/>
        <w:gridCol w:w="211"/>
        <w:gridCol w:w="67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development expenses increased by $1.0 million, or 6.0%, for the three months ended March 31, 2025 as compared to the same period last year primarily due to higher consulting and contractor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 Interest Income and Other Expense, Net</w:t>
      </w:r>
    </w:p>
    <w:tbl>
      <w:tblPr>
        <w:tblW w:w="3974" w:type="dxa"/>
        <w:jc w:val="left"/>
        <w:tblInd w:w="0" w:type="dxa"/>
        <w:tblLayout w:type="fixed"/>
        <w:tblCellMar>
          <w:top w:w="28" w:type="dxa"/>
          <w:left w:w="28" w:type="dxa"/>
          <w:bottom w:w="28" w:type="dxa"/>
          <w:right w:w="28" w:type="dxa"/>
        </w:tblCellMar>
      </w:tblPr>
      <w:tblGrid>
        <w:gridCol w:w="1621"/>
        <w:gridCol w:w="146"/>
        <w:gridCol w:w="211"/>
        <w:gridCol w:w="631"/>
        <w:gridCol w:w="166"/>
        <w:gridCol w:w="146"/>
        <w:gridCol w:w="211"/>
        <w:gridCol w:w="631"/>
        <w:gridCol w:w="21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by 27.5% for the three months ended March 31, 2025 as compared to the same period last year primarily due to lower principal balance on our Term Loan combined with lower interest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by 59.7% for the three months ended March 31, 2025 as compared to the same period last year primarily due to lower cash balance in our interest-bearing account combined with lower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for the three months ended March 31, 2025 included a $2.6 million reversal of bargain purchase gain from the Fanatec Acquisition that was recognized in prior year. The remainder of other expense, net for the three months ended March 31, 2025 and 2024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 rates of the Euro and British Pound.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Benefit (Expense)</w:t>
      </w:r>
    </w:p>
    <w:tbl>
      <w:tblPr>
        <w:tblW w:w="5516" w:type="dxa"/>
        <w:jc w:val="left"/>
        <w:tblInd w:w="0" w:type="dxa"/>
        <w:tblLayout w:type="fixed"/>
        <w:tblCellMar>
          <w:top w:w="28" w:type="dxa"/>
          <w:left w:w="28" w:type="dxa"/>
          <w:bottom w:w="28" w:type="dxa"/>
          <w:right w:w="28" w:type="dxa"/>
        </w:tblCellMar>
      </w:tblPr>
      <w:tblGrid>
        <w:gridCol w:w="2461"/>
        <w:gridCol w:w="146"/>
        <w:gridCol w:w="241"/>
        <w:gridCol w:w="722"/>
        <w:gridCol w:w="379"/>
        <w:gridCol w:w="167"/>
        <w:gridCol w:w="241"/>
        <w:gridCol w:w="843"/>
        <w:gridCol w:w="31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U.S. and foreign jurisdictions in which we do business. These foreign jurisdictions have statutory tax rates different from those in the U.S.. Accordingly, our effective tax rates will vary depending on the relative proportion of foreign to U.S. income, the utilization of net operating loss and tax credit carry forwards, changes in geographic mix of income and expense, changes in management’s assessment of matters such as the ability to realize deferred tax assets, and changes in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tax expense of (25.0)% and tax benefit of 13.9% for the three months ended March 31, 2025 and 2024, respectively. The change in our effective rate in the three-month period was primarily driven by a change in the mix of income and losses in the various tax jurisdictions in which we operate, as well as the impact of valuation allowance on U.S. federal and state deferred tax assets, which reduced the U.S. deferred 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 our deferred tax assets and liabilities to determine if it is more likely than not that they will be realized; if not, a valuation allowance is required to be recorded. Previously, in the third quarter of 2024, we reached a cumulative loss position over the previous three years, and with consideration of other negative evidence, we concluded that U.S. federal and state deferred tax assets are not more likely than not to be realized. As a result of the foregoing, a full valuation allowance was recorded in 2024. The deferred tax liability related to indefinite-lived assets was excluded from sources of future taxable income, as the timing of its reversal cannot be predicted due to the nature of its indefinite life.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Net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net revenue by segment expressed both in dollars (thousands) and as a percentage of net revenue:</w:t>
      </w:r>
    </w:p>
    <w:tbl>
      <w:tblPr>
        <w:tblW w:w="7952" w:type="dxa"/>
        <w:jc w:val="left"/>
        <w:tblInd w:w="0" w:type="dxa"/>
        <w:tblLayout w:type="fixed"/>
        <w:tblCellMar>
          <w:top w:w="28" w:type="dxa"/>
          <w:left w:w="28" w:type="dxa"/>
          <w:bottom w:w="28" w:type="dxa"/>
          <w:right w:w="28" w:type="dxa"/>
        </w:tblCellMar>
      </w:tblPr>
      <w:tblGrid>
        <w:gridCol w:w="3241"/>
        <w:gridCol w:w="146"/>
        <w:gridCol w:w="196"/>
        <w:gridCol w:w="691"/>
        <w:gridCol w:w="146"/>
        <w:gridCol w:w="146"/>
        <w:gridCol w:w="146"/>
        <w:gridCol w:w="511"/>
        <w:gridCol w:w="256"/>
        <w:gridCol w:w="146"/>
        <w:gridCol w:w="196"/>
        <w:gridCol w:w="691"/>
        <w:gridCol w:w="146"/>
        <w:gridCol w:w="146"/>
        <w:gridCol w:w="146"/>
        <w:gridCol w:w="511"/>
        <w:gridCol w:w="4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Gamer and Creator Peripherals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Gaming Components and Systems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Memory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Component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of the Gamer and Creator Peripherals segment increased by 4.7% for the three months ended March 31, 2025 as compared to the same period last year primarily due to the inclusion of post-acquisition revenues from our September 2024 Fanatec Acquisition.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Gaming Components and Systems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of the Gaming Components and Systems segment increased 11.9% for the three months ended March 31, 2025 as compared to the same period last year. This increase was due to an increase in demand for our memory products and our other component products in the self-built PC market, driven by the recent launch of the new generation of GPUs and CPUs.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gross profit expressed in dollars (thousands) and gross margin (which we define as gross profit as a percentage of net revenue) by segment:</w:t>
      </w:r>
    </w:p>
    <w:tbl>
      <w:tblPr>
        <w:tblW w:w="7682" w:type="dxa"/>
        <w:jc w:val="left"/>
        <w:tblInd w:w="0" w:type="dxa"/>
        <w:tblLayout w:type="fixed"/>
        <w:tblCellMar>
          <w:top w:w="28" w:type="dxa"/>
          <w:left w:w="28" w:type="dxa"/>
          <w:bottom w:w="28" w:type="dxa"/>
          <w:right w:w="28" w:type="dxa"/>
        </w:tblCellMar>
      </w:tblPr>
      <w:tblGrid>
        <w:gridCol w:w="3241"/>
        <w:gridCol w:w="146"/>
        <w:gridCol w:w="196"/>
        <w:gridCol w:w="691"/>
        <w:gridCol w:w="146"/>
        <w:gridCol w:w="146"/>
        <w:gridCol w:w="146"/>
        <w:gridCol w:w="421"/>
        <w:gridCol w:w="256"/>
        <w:gridCol w:w="146"/>
        <w:gridCol w:w="196"/>
        <w:gridCol w:w="601"/>
        <w:gridCol w:w="146"/>
        <w:gridCol w:w="146"/>
        <w:gridCol w:w="146"/>
        <w:gridCol w:w="421"/>
        <w:gridCol w:w="4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Gamer and Creator Peripherals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Gaming Components and Systems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Memory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Component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Gamer and Creator Peripherals segment increased by 70 bps for the three months ended March 31, 2025 as compared to the same period last year. The increase was primarily attributable to a 100 bps increase from lower air freight costs, a 60 bps increase from reduced costs to process inventory returns, and a 50 bps increase from an improved product mix within this segment. These increases were partially offset by a 160 bps decrease largely coming from higher royalty payments associated with the sales of our Sim racing products, and lesser benefits from sales to our suppliers.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Gaming Components and Systems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Gaming Components and Systems segment increased by 300 bps for the three months ended March 31, 2025 as compared to the same period last year. The increase was primarily attributable to an improved product mix and lower product material costs within this segment.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financed our operations and acquisitions through cash from operations, and when necessary, through debt facilities and issuance of equity securities. As of March 31, 2025, our principal sources of liquidity were cash and restricted cash, in aggregate of $102.5 million, and our borrowing capacity under the Revolving Facility (as defined under “Capital Resources” below) of $99.8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shelf-registration statement on Form S-3 on file with the SEC, which allows us to offer securities, including common stock, preferred stock and warrants, through August 1, 2025. As of March 31, 2025, $216.7 million remained available for issuance under the shelf-registration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uses of cash generally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anticipated cash flows from operations based on our current business outlook, combined with our current levels of cash balances at March 31, 2025, supplemented with the borrowing capacity under our Revolving Facility, if and as needed,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 (in thousands):</w:t>
      </w:r>
    </w:p>
    <w:tbl>
      <w:tblPr>
        <w:tblW w:w="5611" w:type="dxa"/>
        <w:jc w:val="left"/>
        <w:tblInd w:w="0" w:type="dxa"/>
        <w:tblLayout w:type="fixed"/>
        <w:tblCellMar>
          <w:top w:w="28" w:type="dxa"/>
          <w:left w:w="28" w:type="dxa"/>
          <w:bottom w:w="28" w:type="dxa"/>
          <w:right w:w="28" w:type="dxa"/>
        </w:tblCellMar>
      </w:tblPr>
      <w:tblGrid>
        <w:gridCol w:w="2656"/>
        <w:gridCol w:w="146"/>
        <w:gridCol w:w="229"/>
        <w:gridCol w:w="801"/>
        <w:gridCol w:w="180"/>
        <w:gridCol w:w="158"/>
        <w:gridCol w:w="229"/>
        <w:gridCol w:w="801"/>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for the three months ended March 31, 2025 was $18.8 million and consisted of non-cash adjustments of $27.1 million, a net cash inflow of $2.0 million from changes in our net operating assets and liabilities, partially offset by a net loss of $10.3 million. The non-cash adjustments primarily consisted of amortization of intangibles, depreciation, stock-based compensation expense, and the reversal of the Fanatec Acquisition bargain purchase gain previously recognized in the year ended December 31, 2024. The net cash inflow from changes in our net operating assets and liabilities was primarily related to an increase in accounts payable due to timing of payments and higher inventory purchases, partially offset by cash outflows from an increase in inventories as we stocked up in anticipation of tariffs, as well as a decrease in other liabilities and accrued expenses primarily due to a reduction in the accruals needed for customer incentives programs and sales returns with lower revenues.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three months ended March 31, 2024 was $26.3 million and consisted of a net loss of $11.0 million and a net cash outflow of $30.3 million from changes in our net operating assets and liabilities, partially offset by non-cash adjustments of $15.0 million. The net cash outflow from changes in our net operating assets and liabilities was primarily related to an increase in inventories, attributable in part to the buildup of safety stock to accommodate supply lead times in our peripherals products and in part due to lower demand for our components products in the first quarter of 2024, as well as a decrease in accounts payable due to timing of payments and a decrease in other liabilities and accrued expenses mainly due to a reduction in the accruals needed for sales returns and customer incentives with lower revenues. These net cash outflows were partially offset by a decrease in accounts receivable from lower revenue and a decrease in prepaid and other assets. The non-cash adjustments primarily consisted of amortization of intangibles, depreciation and stock-based compensation expense, which were partially offset by changes in deferred income taxes.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$3.1 million for the three months ended March 31, 2025 for capital expenditure.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$1.5 million for the three months ended March 31, 2024 and consisted of $2.5 million capital expenditure, partially offset by $1.0 million cash received from escrow for the purchase price adjustment related to a business acquisition.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$22.3 million for the three months ended March 31, 2025 and consisted of $25.0 million repayment of debt, $0.4 million payment of taxes related to net share settlement of equity awards, and $0.3 million payment of dividends to noncontrolling interest, partially offset by $3.4 million proceeds received from the issuance of shares through the employee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financing activities was $19.9 million for the three months ended March 31, 2024 and consisted of $15.0 million repayment of debt, $4.9 million settlement of deferred consideration related to a prior business acquisition in 2019, $2.0 million payment of dividends to noncontrolling interest, and $0.4 million payment of taxes related to net share settlement of equity awards, partially offset by $2.4 million proceeds received from the issuance of shares through the employee equity incentive plans.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3, 2021, we refinanced the First Lien Credit and Guaranty Agreement with a new Credit Agreement (as amended, the “Credit Agreement”). The Credit Agreement provides for a total commitment of $350.0 million, consisting of a $100.0 million revolving credit facility (the “Revolving Facility”) and a $250.0 million term loan facility (the “Term Loan”). 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$21.9 million and $12.5 million of the Term Loan principal in the three months ended March 31, 2025 and in the year ended December 31, 2024, respectively. As of March 31, 2025, the total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principal outstanding of the Term Loan was $149.0 million and the available and uncommitted capacity under the Revolving Facility was $99.8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19, 2024, we entered into a Fourth Amendment (the “Fourth Amendment”) to the Credit Agreement, which provides for, among other things, (i) effectuates the transition of the underlying variable interest rate from the BSBY to a forward-looking interest rate based on the Secured Overnight Financing Rate (“SOFR”), with no change to the applicable margin percentage spread, but with the addition of a rate spread adjustment in the amount of 0.10% per annum, (ii) increases the letter of credit sublimit from $15 million to $65 million and (iii) the issuance of letters of credit denominated in Euro.</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Credit Agreement). As of March 31, 2025, we were not in default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Cash and Other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contractual cash and other obligations as of March 31, 2025 (in thousands):</w:t>
      </w:r>
    </w:p>
    <w:tbl>
      <w:tblPr>
        <w:tblW w:w="9936" w:type="dxa"/>
        <w:jc w:val="left"/>
        <w:tblInd w:w="0" w:type="dxa"/>
        <w:tblLayout w:type="fixed"/>
        <w:tblCellMar>
          <w:top w:w="28" w:type="dxa"/>
          <w:left w:w="28" w:type="dxa"/>
          <w:bottom w:w="28" w:type="dxa"/>
          <w:right w:w="28" w:type="dxa"/>
        </w:tblCellMar>
      </w:tblPr>
      <w:tblGrid>
        <w:gridCol w:w="3481"/>
        <w:gridCol w:w="146"/>
        <w:gridCol w:w="211"/>
        <w:gridCol w:w="781"/>
        <w:gridCol w:w="146"/>
        <w:gridCol w:w="146"/>
        <w:gridCol w:w="211"/>
        <w:gridCol w:w="781"/>
        <w:gridCol w:w="146"/>
        <w:gridCol w:w="146"/>
        <w:gridCol w:w="211"/>
        <w:gridCol w:w="781"/>
        <w:gridCol w:w="146"/>
        <w:gridCol w:w="146"/>
        <w:gridCol w:w="211"/>
        <w:gridCol w:w="676"/>
        <w:gridCol w:w="146"/>
        <w:gridCol w:w="146"/>
        <w:gridCol w:w="211"/>
        <w:gridCol w:w="67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Debt principal and interest payments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Inventory-related purchase obligations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obligations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purchase obligations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represent the principal cash payments as of March 31, 2025 of our Term Loan based on the repayment schedule according to the Credit Agreement and the expected interest payments associated with the Term Loan. See Note 7, “Debt” to our condensed consolidated financial statements for more information.</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an estimate of purchase obligations related to inventory.</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contractual obligations from our operating leases for offices and warehouse spaces.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Amounts represent non-cancelable obligations related to capital expenditures, software licenses, marketing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$3.8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condensed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they remain reasonable under current conditions. Actual results may differ significantly from those estimates, which could have a material impact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three months ended March 31, 2025 as compared to the critical accounting policies and estimates described in our Management’s Discussion and Analysis of Financial Condition and Results of Operations included in our Annual Report on Form 10-K for the year ended December 31, 2024 filed with the SEC on February 26,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to the condensed consolidated financial statements included in this Quarterly Report on Form 10-Q for recent accounting pronouncements adopted and to be adopted.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cash and restricted cash of $102.5 million, which consisted primarily of bank deposits. Our cash is held for working capital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under the Credit Agreement, we had $149.0 million Term Loan outstanding (face value), and the Term Loan bears variable market rates, primarily SOFR. A significant change in these market rates may adversely affect our operating results. As of March 31, 2025, a hypothetical 100 basis point change in interest rates would result in a change to annual interest expense by approximately $1.5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20.6% of our net revenue for the three months ended March 31, 2025 was denominated in foreign currencies, primarily Euro, and to a lesser extent, the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U.S., Europe, China and Taiwan. Our operating results and cash flows are, therefore, subject to fluctuations due to changes in foreign currency exchange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forward currency contracts to reduce the short-term effects of currency fluctuations on Euro and British Pound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$33.6 million and $35.2 million as of March 31, 2025 and December 31, 2024, respectively. The gains or losses on these contracts are recognized in earnings based on the changes in fair value of the foreign currency forward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impact of changes in foreign currency rates, including the net gains or (losses) on the forward currency contracts, recognized in other expense, net was $(1.5) million and $(0.5) million for the three months ended March 31, 2025 and 2024, respectively. A hypothetical ten percent change in exchange rates between foreign currencies and the U.S. dollar would increase or decrease our gains or losses on foreign currency exchange of approximately $1.7 million in our condensed consolidated financial statements for the three months ended March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the end of the period covered by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this evaluation, our chief executive officer and chief financial officer concluded that, as of March 31, 2025,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March 31, 2025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pStyle w:val="TextBody"/>
        <w:bidi w:val="0"/>
        <w:spacing w:before="240" w:after="283"/>
        <w:jc w:val="left"/>
        <w:rPr>
          <w:rFonts w:ascii="Times New Roman" w:hAnsi="Times New Roman"/>
          <w:b/>
          <w:color w:val="000000"/>
          <w:sz w:val="20"/>
        </w:rPr>
      </w:pPr>
      <w:bookmarkStart w:id="16" w:name="item_ia_risk_factor"/>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disclosed under the heading “Risk Factors” in Part I, Item 1A of our Annual Report on Form 10-K for the year ended December 31, 2024 the risk factors that materially affect our business, financial condition or results of operations. There have been no material changes from the risk factors previously disclosed, except for the following risk factor which supplements the risk factors referenced above. You should carefully consider the risk factors set forth in our Annual Report on Form 10-K for the year ended December 31, 2024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trade policy and regulations in the U.S. and other countries, including changes in trade agreements and the imposition of tariffs, as well as retaliatory responses, may have adverse impacts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government has implemented or proposed changes to international trade policy through the renegotiation, and potential termination, of certain existing bilateral or multilateral trade agreements and treaties, along with the imposition of tariffs on a wide range of products and other goods from China, countries in EMEA (Europe, the Middle East and Africa) and other regions. In response, China and other countries have imposed or proposed additional tariffs and additional trade restrictions on certain imports from the U.S. The current trade relations between the U.S. and China remain volatile and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significantly on manufacturing facilities in Taiwan, China and Vietnam. In addition, we and our manufacturers rely on the availability of raw materials and other components to produce a significant amount of our products. The imposition of tariffs and any countermeasures could increase the cost of our products, limit the availability of the raw materials or components we use, disrupt the global supply chain, increase market volatility, and create additional challenges to our operations. As a result, the sales, cost, or gross margin of our products may be adversely affected, and the demand from our customers may be diminished. In addition, uncertainty surrounding international trade policy and regulations as well as disputes and protectionist measures could also have an adverse effect on consumer confidence and spending.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ongoing efforts to address these risks may not be effective and may have long-term adverse effects on our operations and operating results that we may not be able to reverse. Such efforts may also take time to implement or to have an effect and may result in adverse financial results or fluctuations in our financial results. In addition, these tariffs and retaliatory actions could affect our long-term strategies. If we deem it necessary to alter all or a portion of our activities or operations in response to such policies, agreements or tariffs, our capital and operating costs may increase. As a result, changes in trade policy and regulations in the U.S. and other countries could adversely affect our business, results of operations and financial condition.</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None of our directors or officers (as defined in Rule 16a-1 under the Exchange Act) adopted, modified or terminated a Rule 10b5-1 trading arrangement or non-Rule 10b5-1 trading arrangement during the three months ended March 31, 2025, as such terms are defined under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1"/>
        <w:gridCol w:w="146"/>
        <w:gridCol w:w="5117"/>
        <w:gridCol w:w="801"/>
        <w:gridCol w:w="146"/>
        <w:gridCol w:w="466"/>
        <w:gridCol w:w="146"/>
        <w:gridCol w:w="146"/>
        <w:gridCol w:w="631"/>
        <w:gridCol w:w="146"/>
        <w:gridCol w:w="724"/>
        <w:gridCol w:w="146"/>
        <w:gridCol w:w="829"/>
      </w:tblGrid>
      <w:tr>
        <w:trPr/>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5" w:type="dxa"/>
            <w:gridSpan w:val="7"/>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of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Investor Rights Agreement, by and between Corsair Gaming, Inc. and Corsair Group (Cayman), 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Corsair’s Securities Registered Pursuant to Section 12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Registration Rights Agreement, by and between Corsair Gaming, Inc. and Corsair Group (Cayman), 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Transition Agreement, by and between Corsair Gaming, Inc. and Andrew J. Paul.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02/14/2025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Employment Agreement, by and between Corsair Gaming, Inc. and Thi La.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02/14/2025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w:anchor="crsr-ex31_1.htm">
              <w:r>
                <w:rPr>
                  <w:rStyle w:val="InternetLink"/>
                  <w:rFonts w:ascii="Times New Roman" w:hAnsi="Times New Roman"/>
                  <w:color w:val="0000FF"/>
                  <w:sz w:val="20"/>
                  <w:u w:val="single"/>
                </w:rPr>
                <w:t>Certification of Principal Executive Officer under Securities Exchange Act Rule 13a</w:t>
                <w:noBreakHyphen/>
                <w:t>14(a) and 15d</w:t>
                <w:noBreakHyphen/>
                <w:t>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w:anchor="crsr-ex31_2.htm">
              <w:r>
                <w:rPr>
                  <w:rStyle w:val="InternetLink"/>
                  <w:rFonts w:ascii="Times New Roman" w:hAnsi="Times New Roman"/>
                  <w:color w:val="0000FF"/>
                  <w:sz w:val="20"/>
                  <w:u w:val="single"/>
                </w:rPr>
                <w:t>Certification of Principal Financial Officer under Securities Exchange Act Rule 13a</w:t>
                <w:noBreakHyphen/>
                <w:t>14(a) and 15d</w:t>
                <w:noBreakHyphen/>
                <w:t>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hyperlink w:anchor="crsr-ex32_1.htm">
              <w:r>
                <w:rPr>
                  <w:rStyle w:val="InternetLink"/>
                  <w:rFonts w:ascii="Times New Roman" w:hAnsi="Times New Roman"/>
                  <w:color w:val="0000FF"/>
                  <w:sz w:val="20"/>
                  <w:u w:val="single"/>
                </w:rPr>
                <w:t>Certifications of Principal Executive Officer and Principal Financial Officer pursuant to 18 U.S.C. 1350 and Securities Exchange Act Rule 13a</w:t>
                <w:noBreakHyphen/>
                <w:t>14(b).</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1636"/>
        <w:gridCol w:w="109"/>
        <w:gridCol w:w="406"/>
        <w:gridCol w:w="53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Corsair Gaming, Inc.</w:t>
            </w:r>
          </w:p>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 Potter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 Potter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Q1 2025 Form 10-Q | 33</w:t>
      </w:r>
    </w:p>
    <w:p>
      <w:pPr>
        <w:pStyle w:val="HorizontalLine"/>
        <w:pBdr>
          <w:bottom w:val="double" w:sz="2" w:space="0" w:color="808080"/>
        </w:pBdr>
        <w:bidi w:val="0"/>
        <w:spacing w:before="0" w:after="283"/>
        <w:jc w:val="left"/>
        <w:rPr/>
      </w:pPr>
      <w:r>
        <w:rPr/>
      </w:r>
    </w:p>
    <w:p>
      <w:pPr>
        <w:pStyle w:val="TextBody"/>
        <w:bidi w:val="0"/>
        <w:jc w:val="left"/>
        <w:rPr/>
      </w:pPr>
      <w:bookmarkStart w:id="23" w:name="crsr-ex31_1.htm"/>
      <w:bookmarkStart w:id="24" w:name="kscrsr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J. Paul,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Corsair Gaming,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636"/>
        <w:gridCol w:w="109"/>
        <w:gridCol w:w="406"/>
        <w:gridCol w:w="25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J. Paul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J. Paul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rsr-ex31_2.htm"/>
      <w:bookmarkStart w:id="26" w:name="kscrsr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G. Potter,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Corsair Gaming,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1636"/>
        <w:gridCol w:w="109"/>
        <w:gridCol w:w="406"/>
        <w:gridCol w:w="53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 Potter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 Potter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rsr-ex32_1.htm"/>
      <w:bookmarkStart w:id="28" w:name="kscrsr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OF CHIEF EXECUTIVE OFFICER AND CHIEF FINANCIAL OFFICER</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Corsair Gaming, Inc. (the “Company”) on Form 10-Q for the quarter ended March 31, 2025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657" w:type="dxa"/>
        <w:jc w:val="left"/>
        <w:tblInd w:w="0" w:type="dxa"/>
        <w:tblLayout w:type="fixed"/>
        <w:tblCellMar>
          <w:top w:w="28" w:type="dxa"/>
          <w:left w:w="28" w:type="dxa"/>
          <w:bottom w:w="28" w:type="dxa"/>
          <w:right w:w="28" w:type="dxa"/>
        </w:tblCellMar>
      </w:tblPr>
      <w:tblGrid>
        <w:gridCol w:w="1636"/>
        <w:gridCol w:w="109"/>
        <w:gridCol w:w="406"/>
        <w:gridCol w:w="2506"/>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J. Paul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J. Paul</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7462" w:type="dxa"/>
        <w:jc w:val="left"/>
        <w:tblInd w:w="0" w:type="dxa"/>
        <w:tblLayout w:type="fixed"/>
        <w:tblCellMar>
          <w:top w:w="28" w:type="dxa"/>
          <w:left w:w="28" w:type="dxa"/>
          <w:bottom w:w="28" w:type="dxa"/>
          <w:right w:w="28" w:type="dxa"/>
        </w:tblCellMar>
      </w:tblPr>
      <w:tblGrid>
        <w:gridCol w:w="1636"/>
        <w:gridCol w:w="109"/>
        <w:gridCol w:w="406"/>
        <w:gridCol w:w="531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G. Potter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G. Potter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759/000119312520254569/d65933dex31.htm" TargetMode="External"/><Relationship Id="rId3" Type="http://schemas.openxmlformats.org/officeDocument/2006/relationships/hyperlink" Target="https://www.sec.gov/Archives/edgar/data/1743759/000119312520254569/d65933dex32.htm" TargetMode="External"/><Relationship Id="rId4" Type="http://schemas.openxmlformats.org/officeDocument/2006/relationships/hyperlink" Target="https://www.sec.gov/Archives/edgar/data/1743759/000119312520248527/d507744dex42.htm" TargetMode="External"/><Relationship Id="rId5" Type="http://schemas.openxmlformats.org/officeDocument/2006/relationships/hyperlink" Target="https://www.sec.gov/Archives/edgar/data/1743759/000156459020052867/crsr-ex42_448.htm" TargetMode="External"/><Relationship Id="rId6" Type="http://schemas.openxmlformats.org/officeDocument/2006/relationships/hyperlink" Target="https://www.sec.gov/Archives/edgar/data/0001743759/000156459021012507/crsr-ex43_1280.htm" TargetMode="External"/><Relationship Id="rId7" Type="http://schemas.openxmlformats.org/officeDocument/2006/relationships/hyperlink" Target="https://www.sec.gov/Archives/edgar/data/0001743759/000119312520244634/d507744dex44.htm" TargetMode="External"/><Relationship Id="rId8" Type="http://schemas.openxmlformats.org/officeDocument/2006/relationships/hyperlink" Target="https://www.sec.gov/Archives/edgar/data/1743759/000095017025020196/crsr-ex10_1.htm" TargetMode="External"/><Relationship Id="rId9" Type="http://schemas.openxmlformats.org/officeDocument/2006/relationships/hyperlink" Target="https://www.sec.gov/Archives/edgar/data/1743759/000095017025020196/crsr-ex10_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18301</Words>
  <Characters>99184</Characters>
  <CharactersWithSpaces>118682</CharactersWithSpaces>
  <Paragraphs>5703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